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80"/>
      </w:pPr>
      <w:r>
        <w:rPr>
          <w:rFonts w:ascii="Arial" w:cs="Arial" w:eastAsia="Arial" w:hAnsi="Arial"/>
          <w:b/>
          <w:bCs/>
          <w:color w:val="1F497D"/>
          <w:sz w:val="40"/>
          <w:szCs w:val="40"/>
        </w:rPr>
        <w:t xml:space="preserve">AURA — Project Structure &amp; Technical Architecture</w:t>
      </w:r>
    </w:p>
    <w:p>
      <w:pPr>
        <w:pBdr>
          <w:bottom w:val="single" w:color="1F497D" w:sz="12" w:space="4"/>
        </w:pBdr>
        <w:spacing w:before="0" w:after="200"/>
      </w:pP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AI for Urban Resilience &amp; Alerts  |  Gulf Coast Hurricane Risk Prediction</w:t>
      </w:r>
    </w:p>
    <w:p>
      <w:pPr>
        <w:spacing w:before="8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1. Project Overview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AURA is a machine learning research platform developed as part of the MPH in Biostatistics Integrated Learning Experience at Tulane University School of Public Health and Tropical Medicine. The project addresses a core limitation in federal hurricane risk infrastructure: FEMA's National Risk Index relies on linear, historically-derived formulas that have not been validated at the census-tract level against actual disaster assistance outcomes.</w:t>
      </w:r>
    </w:p>
    <w:p>
      <w:pPr>
        <w:spacing w:before="60" w:after="0"/>
      </w:pPr>
      <w:r>
        <w:t xml:space="preserve"/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AURA operationalizes a binary classification task — predicting whether a census tract will have above-median FEMA Individual Assistance registrations following a major Gulf Coast hurricane — using a reproducible, multi-algorithm framework with explicit fairness diagnostics.</w:t>
      </w:r>
    </w:p>
    <w:p>
      <w:pPr>
        <w:spacing w:before="8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D6E4F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19"/>
                <w:szCs w:val="19"/>
              </w:rPr>
              <w:t xml:space="preserve">Research Question: Can publicly available storm, demographic, and geographic data, combined with supervised machine learning, predict FEMA disaster assistance need at the census-tract level better than FEMA's existing National Risk Index methodology?</w:t>
            </w:r>
          </w:p>
        </w:tc>
      </w:tr>
    </w:tbl>
    <w:p>
      <w:pPr>
        <w:spacing w:before="12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2. Data Architecture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Data Sources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AURA integrates five primary federal datasets, each accessed via API or direct download and merged at the census tract level using FIPS GEOIDs:</w:t>
      </w:r>
    </w:p>
    <w:p>
      <w:pPr>
        <w:spacing w:before="40" w:after="0"/>
      </w:pPr>
      <w:r>
        <w:t xml:space="preserve"/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Storm physics: </w:t>
      </w:r>
      <w:r>
        <w:rPr>
          <w:rFonts w:ascii="Arial" w:cs="Arial" w:eastAsia="Arial" w:hAnsi="Arial"/>
          <w:sz w:val="20"/>
          <w:szCs w:val="20"/>
        </w:rPr>
        <w:t xml:space="preserve">NOAA HURDAT2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Outcome variable: </w:t>
      </w:r>
      <w:r>
        <w:rPr>
          <w:rFonts w:ascii="Arial" w:cs="Arial" w:eastAsia="Arial" w:hAnsi="Arial"/>
          <w:sz w:val="20"/>
          <w:szCs w:val="20"/>
        </w:rPr>
        <w:t xml:space="preserve">FEMA Individual Assistance Database (OpenFEMA API)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Social &amp; built-environment features: </w:t>
      </w:r>
      <w:r>
        <w:rPr>
          <w:rFonts w:ascii="Arial" w:cs="Arial" w:eastAsia="Arial" w:hAnsi="Arial"/>
          <w:sz w:val="20"/>
          <w:szCs w:val="20"/>
        </w:rPr>
        <w:t xml:space="preserve">U.S. Census American Community Survey 5-Year Estimates (ACS API)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Pre-computed vulnerability composites: </w:t>
      </w:r>
      <w:r>
        <w:rPr>
          <w:rFonts w:ascii="Arial" w:cs="Arial" w:eastAsia="Arial" w:hAnsi="Arial"/>
          <w:sz w:val="20"/>
          <w:szCs w:val="20"/>
        </w:rPr>
        <w:t xml:space="preserve">CDC Social Vulnerability Index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Geographic exposure features: </w:t>
      </w:r>
      <w:r>
        <w:rPr>
          <w:rFonts w:ascii="Arial" w:cs="Arial" w:eastAsia="Arial" w:hAnsi="Arial"/>
          <w:sz w:val="20"/>
          <w:szCs w:val="20"/>
        </w:rPr>
        <w:t xml:space="preserve">USGS 3D Elevation Program (3DEP)</w:t>
      </w:r>
    </w:p>
    <w:p>
      <w:pPr>
        <w:spacing w:before="80" w:after="0"/>
      </w:pPr>
      <w:r>
        <w:t xml:space="preserve"/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Observation Structure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The dataset uses a hurricane-centric, long-format structure: each row represents one census tract observed during one hurricane event. This design maximizes training data volume (enabling ~15,000 observations across five storms and 3,000+ tracts) while preserving within-storm spatial variation.</w:t>
      </w:r>
    </w:p>
    <w:p>
      <w:pPr>
        <w:spacing w:before="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D6E4F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i/>
                <w:iCs/>
                <w:color w:val="333333"/>
                <w:sz w:val="19"/>
                <w:szCs w:val="19"/>
              </w:rPr>
              <w:t xml:space="preserve">Unit of analysis: Census tract × hurricane event. Outcome: Binary indicator — above-median FEMA IA registration rate per tract-storm observation.</w:t>
            </w:r>
          </w:p>
        </w:tc>
      </w:tr>
    </w:tbl>
    <w:p>
      <w:pPr>
        <w:spacing w:before="12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3. Feature Engineering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Features are organized into five categories, reflecting the multi-dimensional nature of hurricane disaster vulnerability. Phase 1 features are implemented and operational; Phase 3 features represent planned Gulf Coast regional specializations.</w:t>
      </w:r>
    </w:p>
    <w:p>
      <w:pPr>
        <w:spacing w:before="6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4000"/>
        <w:gridCol w:w="1800"/>
        <w:gridCol w:w="1360"/>
      </w:tblGrid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Feature Category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Key Variables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Source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Importance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Storm Physics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Max wind speed, surge height, storm size (RMW), duration, distance from eye, quadrant position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HURDAT2 + NOAA SLOSH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Critical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Built Environment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Building age (pre-1970), mobile home %, construction type, median home value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Census ACS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Critical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Geographic Exposure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Elevation, coastal distance, distance to water, terrain roughness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USGS 3DEP, NOAA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Critical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Social Vulnerability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Income, age (65+), disability rate, vehicle ownership, population density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Census ACS, CDC SVI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High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Infrastructure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Critical facility density, housing tenure (rental %)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HSIP Gold, Census ACS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Medium</w:t>
            </w:r>
          </w:p>
        </w:tc>
      </w:tr>
      <w:tr>
        <w:tc>
          <w:tcPr>
            <w:tcW w:type="dxa" w:w="22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Regional (Phase 3)</w:t>
            </w:r>
          </w:p>
        </w:tc>
        <w:tc>
          <w:tcPr>
            <w:tcW w:type="dxa" w:w="40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Subsidence rate, levee proximity, wetland buffer, drainage capacity</w:t>
            </w:r>
          </w:p>
        </w:tc>
        <w:tc>
          <w:tcPr>
            <w:tcW w:type="dxa" w:w="18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LA GPS Network, USACE</w:t>
            </w:r>
          </w:p>
        </w:tc>
        <w:tc>
          <w:tcPr>
            <w:tcW w:type="dxa" w:w="13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Planned</w:t>
            </w:r>
          </w:p>
        </w:tc>
      </w:tr>
    </w:tbl>
    <w:p>
      <w:pPr>
        <w:spacing w:before="80" w:after="0"/>
      </w:pPr>
      <w:r>
        <w:t xml:space="preserve"/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Storm physics features required custom engineering: wind speed at each tract centroid was derived from HURDAT2 track data using a modified Rankine vortex decay model, accounting for radius of maximum winds and forward storm motion. Surge height proxies were derived from NOAA SLOSH maximum envelopes.</w:t>
      </w:r>
    </w:p>
    <w:p>
      <w:pPr>
        <w:spacing w:before="12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4. Modeling Pipeline</w:t>
      </w:r>
    </w:p>
    <w:p>
      <w:pPr>
        <w:spacing w:before="40" w:after="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1700"/>
        <w:gridCol w:w="2700"/>
        <w:gridCol w:w="2560"/>
        <w:gridCol w:w="1700"/>
      </w:tblGrid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1F497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Step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1F497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Stage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1F497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Key Actions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1F497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Tools / Methods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1F497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Output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1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Data Ingestion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HURDAT2, Census ACS, FEMA IA, CDC SVI, USGS DEM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API + direct CSV download via Python pipeline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5 hurricanes, 3,000+ tracts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Preprocessing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Merging by GEOID, imputation, tract-storm alignment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pandas, geopandas; census tract centroid joins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~15,000 observations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3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Feature Engineering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Wind decay models, distance calculations, surge proxies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Custom Python functions; 28 Phase 1 features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Storm + social + geo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Modeling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KNN, DT, RF, Bagging, LR, SVM, Gradient Boosting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scikit-learn; grid search CV (5-fold)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7 algorithms compared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5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Evaluation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AUC-ROC, F1, precision, recall, specificity, fairness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Fairness diagnostics by race, income, geography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Full test-set assessment</w:t>
            </w:r>
          </w:p>
        </w:tc>
      </w:tr>
      <w:tr>
        <w:tc>
          <w:tcPr>
            <w:tcW w:type="dxa" w:w="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6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Interpretation</w:t>
            </w:r>
          </w:p>
        </w:tc>
        <w:tc>
          <w:tcPr>
            <w:tcW w:type="dxa" w:w="2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Feature importance, SHAP values, spatial residuals</w:t>
            </w:r>
          </w:p>
        </w:tc>
        <w:tc>
          <w:tcPr>
            <w:tcW w:type="dxa" w:w="256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SHAP library; tract-level residual mapping</w:t>
            </w:r>
          </w:p>
        </w:tc>
        <w:tc>
          <w:tcPr>
            <w:tcW w:type="dxa" w:w="1700"/>
            <w:tcBorders>
              <w:top w:val="single" w:color="BBCFE0" w:sz="1"/>
              <w:left w:val="single" w:color="BBCFE0" w:sz="1"/>
              <w:bottom w:val="single" w:color="BBCFE0" w:sz="1"/>
              <w:right w:val="single" w:color="BBCF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Explainability focus</w:t>
            </w:r>
          </w:p>
        </w:tc>
      </w:tr>
    </w:tbl>
    <w:p>
      <w:pPr>
        <w:spacing w:before="80" w:after="0"/>
      </w:pPr>
      <w:r>
        <w:t xml:space="preserve"/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Algorithm Selection Rationale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Seven algorithms were chosen to span the interpretability-performance spectrum, enabling direct comparison with the FEMA NRI baseline and supporting the project's responsible AI goals:</w:t>
      </w:r>
    </w:p>
    <w:p>
      <w:pPr>
        <w:spacing w:before="40" w:after="0"/>
      </w:pPr>
      <w:r>
        <w:t xml:space="preserve"/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Random Forest &amp; Gradient Boosting — highest predictive accuracy; feature importance rankings support interpretability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Logistic Regression — transparent coefficient structure; serves as equity-analysis anchor and FEMA comparison baseline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Decision Tree — fully interpretable; reveals threshold-based risk logic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Bagging, KNN, SVM — ensemble and distance-based benchmarks for robustness assessment</w:t>
      </w:r>
    </w:p>
    <w:p>
      <w:pPr>
        <w:spacing w:before="80" w:after="0"/>
      </w:pPr>
      <w:r>
        <w:t xml:space="preserve"/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Validation Strategy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All models were trained on a stratified 70/30 train-test split, with hyperparameter tuning conducted exclusively on training data using 5-fold cross-validation grid search. Final evaluation metrics — AUC-ROC, F1, precision, recall, and specificity — were computed on the held-out test set. Fairness diagnostics assessed recall and precision parity across racial, income, and rural/urban subgroups.</w:t>
      </w:r>
    </w:p>
    <w:p>
      <w:pPr>
        <w:spacing w:before="12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5. Equity &amp; Responsible AI Framework</w:t>
      </w:r>
    </w:p>
    <w:p>
      <w:pPr>
        <w:spacing w:before="60" w:after="60"/>
      </w:pPr>
      <w:r>
        <w:rPr>
          <w:rFonts w:ascii="Arial" w:cs="Arial" w:eastAsia="Arial" w:hAnsi="Arial"/>
          <w:sz w:val="20"/>
          <w:szCs w:val="20"/>
        </w:rPr>
        <w:t xml:space="preserve">AURA documents a fundamental tension inherent in public health AI: the models with the highest aggregate predictive performance (Random Forest, AUC 0.91) showed the most pronounced demographic performance gaps, while the most equitable models showed severely limited utility. This trade-off is a central finding of the project — not a methodological failure to be minimized.</w:t>
      </w:r>
    </w:p>
    <w:p>
      <w:pPr>
        <w:spacing w:before="60" w:after="0"/>
      </w:pPr>
      <w:r>
        <w:t xml:space="preserve"/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Fairness Diagnostics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Recall parity across racial/ethnic subgroups — identifies models that disproportionately miss high-need communities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Precision parity by income quartile — identifies models that over-predict need in lower-income tracts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Rural/urban performance stratification — documents geographic generalizability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Spatial residual mapping — identifies systematic geographic prediction errors</w:t>
      </w:r>
    </w:p>
    <w:p>
      <w:pPr>
        <w:spacing w:before="80" w:after="0"/>
      </w:pPr>
      <w:r>
        <w:t xml:space="preserve"/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Transparency Commitments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All data sources are public domain; no proprietary or restricted datasets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Full code, preprocessing pipeline, and model artifacts available in public GitHub repository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SHAP values computed for best-performing model to enable feature-level explanation at tract level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Methodological limitations — including data leakage risk identification and outcome variable construction choices — documented transparently</w:t>
      </w:r>
    </w:p>
    <w:p>
      <w:pPr>
        <w:spacing w:before="120" w:after="0"/>
      </w:pPr>
      <w:r>
        <w:t xml:space="preserve"/>
      </w:r>
    </w:p>
    <w:p>
      <w:pPr>
        <w:pBdr>
          <w:bottom w:val="single" w:color="1F497D" w:sz="6" w:space="4"/>
        </w:pBdr>
        <w:spacing w:before="280" w:after="120"/>
      </w:pPr>
      <w:r>
        <w:rPr>
          <w:rFonts w:ascii="Arial" w:cs="Arial" w:eastAsia="Arial" w:hAnsi="Arial"/>
          <w:b/>
          <w:bCs/>
          <w:color w:val="1F497D"/>
          <w:sz w:val="28"/>
          <w:szCs w:val="28"/>
        </w:rPr>
        <w:t xml:space="preserve">6. Project Phases</w:t>
      </w:r>
    </w:p>
    <w:p>
      <w:pPr>
        <w:spacing w:before="140" w:after="6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Phase 1 — Core Gulf Coast Model (Completed)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Five-hurricane dataset constructed and validated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Twenty-eight features implemented across storm physics, built environment, social vulnerability, and geography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Seven algorithms trained, tuned, and evaluated with full fairness diagnostics</w:t>
      </w:r>
    </w:p>
    <w:p>
      <w:pPr>
        <w:spacing w:before="60" w:after="0"/>
      </w:pPr>
      <w:r>
        <w:t xml:space="preserve"/>
      </w:r>
    </w:p>
    <w:p>
      <w:pPr>
        <w:spacing w:before="140" w:after="6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Phase 2 — Enhanced Regional Features (Planned)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Subsidence rate integration from Louisiana GPS monitoring network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USACE levee proximity and protection-level features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Compound hazard interaction terms (wind-surge coupling)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SHAP-based spatial residual analysis for New Orleans calibration</w:t>
      </w:r>
    </w:p>
    <w:p>
      <w:pPr>
        <w:spacing w:before="60" w:after="0"/>
      </w:pPr>
      <w:r>
        <w:t xml:space="preserve"/>
      </w:r>
    </w:p>
    <w:p>
      <w:pPr>
        <w:spacing w:before="140" w:after="6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Phase 3 — Operational Integration (Future)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GulfGuard progressive web app — tract-level risk scores with preparedness resources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Real-time HURDAT2 feed integration for live storm risk updating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Community co-design workshops for tool validation and dissemination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Policy brief targeting Louisiana GOHSEP and New Orleans Office of Homeland Security</w:t>
      </w:r>
    </w:p>
    <w:p>
      <w:pPr>
        <w:spacing w:before="120" w:after="0"/>
      </w:pPr>
      <w:r>
        <w:t xml:space="preserve"/>
      </w:r>
    </w:p>
    <w:p>
      <w:pPr>
        <w:pBdr>
          <w:top w:val="single" w:color="BBCFE0" w:sz="4" w:space="4"/>
        </w:pBdr>
        <w:spacing w:before="160" w:after="0"/>
      </w:pPr>
      <w:r>
        <w:rPr>
          <w:rFonts w:ascii="Arial" w:cs="Arial" w:eastAsia="Arial" w:hAnsi="Arial"/>
          <w:i/>
          <w:iCs/>
          <w:color w:val="777777"/>
          <w:sz w:val="16"/>
          <w:szCs w:val="16"/>
        </w:rPr>
        <w:t xml:space="preserve">Liam Moran  |  MPH Candidate, Biostatistics  |  Tulane University School of Public Health and Tropical Medicine  |  AURA Integrated Learning Experience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90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2026-02-24T18:52:18.522Z</dcterms:created>
  <dcterms:modified xsi:type="dcterms:W3CDTF">2026-02-24T18:52:18.523Z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