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990B" w14:textId="10193E26" w:rsidR="004321B9" w:rsidRDefault="004321B9" w:rsidP="004321B9">
      <w:r w:rsidRPr="004321B9">
        <w:t>Date:</w:t>
      </w:r>
      <w:r>
        <w:t xml:space="preserve"> </w:t>
      </w:r>
      <w:r w:rsidRPr="004321B9">
        <w:rPr>
          <w:color w:val="FF0000"/>
        </w:rPr>
        <w:t>[Enter date]</w:t>
      </w:r>
    </w:p>
    <w:p w14:paraId="3F715B76" w14:textId="77777777" w:rsidR="004321B9" w:rsidRPr="004321B9" w:rsidRDefault="004321B9" w:rsidP="004321B9"/>
    <w:p w14:paraId="733CECBF" w14:textId="77777777" w:rsidR="004321B9" w:rsidRDefault="004321B9" w:rsidP="004321B9">
      <w:pPr>
        <w:rPr>
          <w:color w:val="FF0000"/>
        </w:rPr>
      </w:pPr>
      <w:r w:rsidRPr="004321B9">
        <w:t xml:space="preserve">Dear </w:t>
      </w:r>
      <w:r w:rsidRPr="004321B9">
        <w:rPr>
          <w:color w:val="FF0000"/>
        </w:rPr>
        <w:t>[enter name and address of the GP Surgery]</w:t>
      </w:r>
    </w:p>
    <w:p w14:paraId="64033C63" w14:textId="77777777" w:rsidR="004321B9" w:rsidRPr="004321B9" w:rsidRDefault="004321B9" w:rsidP="004321B9">
      <w:pPr>
        <w:rPr>
          <w:color w:val="FF0000"/>
        </w:rPr>
      </w:pPr>
    </w:p>
    <w:p w14:paraId="41E17347" w14:textId="32C3CD32" w:rsidR="004321B9" w:rsidRPr="004321B9" w:rsidRDefault="004321B9" w:rsidP="004321B9">
      <w:pPr>
        <w:rPr>
          <w:b/>
          <w:bCs/>
        </w:rPr>
      </w:pPr>
      <w:r w:rsidRPr="004321B9">
        <w:rPr>
          <w:b/>
          <w:bCs/>
        </w:rPr>
        <w:t>Re: Request for Surgery's views on ADHD shared care agreement for:</w:t>
      </w:r>
    </w:p>
    <w:p w14:paraId="4F3A9737" w14:textId="77777777" w:rsidR="004321B9" w:rsidRDefault="004321B9" w:rsidP="004321B9"/>
    <w:p w14:paraId="6995BBF8" w14:textId="690CA7EA" w:rsidR="004321B9" w:rsidRDefault="004321B9" w:rsidP="004321B9">
      <w:r w:rsidRPr="004321B9">
        <w:t xml:space="preserve">Name: </w:t>
      </w:r>
      <w:r w:rsidRPr="004321B9">
        <w:rPr>
          <w:color w:val="FF0000"/>
        </w:rPr>
        <w:t>[Enter your name]</w:t>
      </w:r>
    </w:p>
    <w:p w14:paraId="60CB482E" w14:textId="79AA531E" w:rsidR="004321B9" w:rsidRPr="004321B9" w:rsidRDefault="004321B9" w:rsidP="004321B9">
      <w:pPr>
        <w:rPr>
          <w:color w:val="FF0000"/>
        </w:rPr>
      </w:pPr>
      <w:r w:rsidRPr="004321B9">
        <w:t xml:space="preserve">Date of Birth: </w:t>
      </w:r>
      <w:r w:rsidRPr="004321B9">
        <w:rPr>
          <w:color w:val="FF0000"/>
        </w:rPr>
        <w:t>[Enter your date of birth]</w:t>
      </w:r>
    </w:p>
    <w:p w14:paraId="03534C9B" w14:textId="2655C4FE" w:rsidR="004321B9" w:rsidRPr="004321B9" w:rsidRDefault="004321B9" w:rsidP="004321B9">
      <w:r w:rsidRPr="004321B9">
        <w:t>Address:</w:t>
      </w:r>
      <w:r>
        <w:t xml:space="preserve"> </w:t>
      </w:r>
      <w:r w:rsidRPr="004321B9">
        <w:rPr>
          <w:color w:val="FF0000"/>
        </w:rPr>
        <w:t>[Enter your address]</w:t>
      </w:r>
    </w:p>
    <w:p w14:paraId="2F253447" w14:textId="77777777" w:rsidR="004321B9" w:rsidRDefault="004321B9" w:rsidP="004321B9"/>
    <w:p w14:paraId="2DAE9B78" w14:textId="719D0066" w:rsidR="004321B9" w:rsidRDefault="004321B9" w:rsidP="004321B9">
      <w:r w:rsidRPr="004321B9">
        <w:t xml:space="preserve">I had an assessment for ADHD on </w:t>
      </w:r>
      <w:r w:rsidRPr="004321B9">
        <w:rPr>
          <w:color w:val="FF0000"/>
        </w:rPr>
        <w:t xml:space="preserve">[enter date] </w:t>
      </w:r>
      <w:r w:rsidRPr="004321B9">
        <w:t>by Dr Kaleem Baig, Consultant Psychiatrist, and was diagnosed with ADHD. I understand that a copy of the report has been sent to the GP surgery.</w:t>
      </w:r>
    </w:p>
    <w:p w14:paraId="2F07165C" w14:textId="77777777" w:rsidR="004321B9" w:rsidRPr="004321B9" w:rsidRDefault="004321B9" w:rsidP="004321B9"/>
    <w:p w14:paraId="3DDA51B1" w14:textId="7B7CBDED" w:rsidR="00D12D3E" w:rsidRDefault="004321B9" w:rsidP="004321B9">
      <w:r w:rsidRPr="004321B9">
        <w:t xml:space="preserve">I have reviewed the recommendations made in the report and would like to opt for medication treatment for ADHD. This would involve roughly a three-month medication titration during which Dr Baig would issue prescriptions and monitor my physical health. </w:t>
      </w:r>
    </w:p>
    <w:p w14:paraId="77EA0E59" w14:textId="77777777" w:rsidR="004321B9" w:rsidRPr="004321B9" w:rsidRDefault="004321B9" w:rsidP="004321B9"/>
    <w:p w14:paraId="7278D5E3" w14:textId="77777777" w:rsidR="004321B9" w:rsidRPr="004321B9" w:rsidRDefault="004321B9" w:rsidP="004321B9">
      <w:r w:rsidRPr="004321B9">
        <w:t>I am writing to enquire whether the GP surgery would be willing to enter a shared care agreement and continue with prescriptions once:</w:t>
      </w:r>
    </w:p>
    <w:p w14:paraId="20B25CAE" w14:textId="36B01B83" w:rsidR="004321B9" w:rsidRPr="004321B9" w:rsidRDefault="004321B9" w:rsidP="004321B9">
      <w:pPr>
        <w:numPr>
          <w:ilvl w:val="0"/>
          <w:numId w:val="6"/>
        </w:numPr>
      </w:pPr>
      <w:r w:rsidRPr="004321B9">
        <w:t>Medication titration has been successfully completed</w:t>
      </w:r>
      <w:r>
        <w:t>,</w:t>
      </w:r>
      <w:r w:rsidRPr="004321B9">
        <w:t xml:space="preserve"> and there is evidence of clinical benefit with stability of physical health parameters</w:t>
      </w:r>
    </w:p>
    <w:p w14:paraId="759A3262" w14:textId="3E37F027" w:rsidR="004321B9" w:rsidRPr="004321B9" w:rsidRDefault="004321B9" w:rsidP="004321B9">
      <w:pPr>
        <w:numPr>
          <w:ilvl w:val="0"/>
          <w:numId w:val="6"/>
        </w:numPr>
      </w:pPr>
      <w:r w:rsidRPr="004321B9">
        <w:t>Medications prescribed will be methylphenidate, lisdexamfetamine, dexamfetamine or atomoxetine, within the approved dose range in the BNF.</w:t>
      </w:r>
      <w:r w:rsidR="00262FF8"/>
      <w:r w:rsidRPr="004321B9"/>
      <w:r w:rsidR="00262FF8"/>
      <w:r w:rsidRPr="004321B9"/>
      <w:proofErr w:type="spellStart"/>
      <w:r w:rsidRPr="004321B9"/>
      <w:proofErr w:type="spellEnd"/>
      <w:r w:rsidRPr="004321B9"/>
      <w:r w:rsidR="00262FF8"/>
      <w:r w:rsidRPr="004321B9"/>
      <w:r w:rsidR="00262FF8"/>
      <w:r w:rsidRPr="004321B9"/>
    </w:p>
    <w:p w14:paraId="3FEB0874" w14:textId="77777777" w:rsidR="004321B9" w:rsidRDefault="004321B9" w:rsidP="004321B9"/>
    <w:p w14:paraId="378BDC21" w14:textId="69356185" w:rsidR="004321B9" w:rsidRPr="004321B9" w:rsidRDefault="004321B9" w:rsidP="004321B9">
      <w:r w:rsidRPr="004321B9">
        <w:t>Dr Baig confirms that:</w:t>
      </w:r>
    </w:p>
    <w:p w14:paraId="0B88A181" w14:textId="77777777" w:rsidR="004321B9" w:rsidRPr="004321B9" w:rsidRDefault="004321B9" w:rsidP="004321B9">
      <w:pPr>
        <w:numPr>
          <w:ilvl w:val="0"/>
          <w:numId w:val="7"/>
        </w:numPr>
      </w:pPr>
      <w:r w:rsidRPr="004321B9">
        <w:t>He is an independent consultant psychiatrist who does not have an NHS affiliation</w:t>
      </w:r>
    </w:p>
    <w:p w14:paraId="13A8783B" w14:textId="77777777" w:rsidR="004321B9" w:rsidRPr="004321B9" w:rsidRDefault="004321B9" w:rsidP="004321B9">
      <w:pPr>
        <w:numPr>
          <w:ilvl w:val="0"/>
          <w:numId w:val="7"/>
        </w:numPr>
      </w:pPr>
      <w:r w:rsidRPr="004321B9">
        <w:t>He is on the specialist register of the General Medical Council with GMC registration number 6070029</w:t>
      </w:r>
    </w:p>
    <w:p w14:paraId="411922E9" w14:textId="77777777" w:rsidR="004321B9" w:rsidRPr="004321B9" w:rsidRDefault="004321B9" w:rsidP="004321B9">
      <w:pPr>
        <w:numPr>
          <w:ilvl w:val="0"/>
          <w:numId w:val="7"/>
        </w:numPr>
      </w:pPr>
      <w:r w:rsidRPr="004321B9">
        <w:t xml:space="preserve">Dr Baig works for UMID, which is a Care Quality Commission registered provider with CQC provider ID 1-18243073360</w:t>
      </w:r>
    </w:p>
    <w:p w14:paraId="6452AF2C" w14:textId="77777777" w:rsidR="004321B9" w:rsidRDefault="004321B9" w:rsidP="004321B9"/>
    <w:p w14:paraId="7C5D1650" w14:textId="0380192E" w:rsidR="004321B9" w:rsidRPr="004321B9" w:rsidRDefault="004321B9" w:rsidP="004321B9">
      <w:r w:rsidRPr="004321B9">
        <w:t xml:space="preserve">The proposed areas of responsibility under the shared care agreement for the GP, Dr Baig and </w:t>
      </w:r>
      <w:proofErr w:type="gramStart"/>
      <w:r w:rsidRPr="004321B9">
        <w:t>myself</w:t>
      </w:r>
      <w:proofErr w:type="gramEnd"/>
      <w:r w:rsidRPr="004321B9">
        <w:t xml:space="preserve"> are noted in the Appendix of this letter.</w:t>
      </w:r>
    </w:p>
    <w:p w14:paraId="35B4EDB4" w14:textId="77777777" w:rsidR="004321B9" w:rsidRDefault="004321B9" w:rsidP="004321B9"/>
    <w:p w14:paraId="1A2DFAD1" w14:textId="78F4C84C" w:rsidR="004321B9" w:rsidRDefault="004321B9" w:rsidP="004321B9">
      <w:r w:rsidRPr="004321B9">
        <w:t>I would be grateful if you could confirm the above. This would allow me to determine the financial cost of moving to the treatment phase in independent care. As you appreciate, if a shared care agreement cannot be put in place, the cost of private prescriptions and medications would be an ongoing commitment, and knowing the GP surgery's views would help me in decision-making.</w:t>
      </w:r>
      <w:r w:rsidR="00EB04A9">
        <w:t xml:space="preserve"> As you are already aware, medication titration via NHS is likely to mean very long waiting lists. </w:t>
      </w:r>
    </w:p>
    <w:p w14:paraId="704B831B" w14:textId="77777777" w:rsidR="004321B9" w:rsidRPr="004321B9" w:rsidRDefault="004321B9" w:rsidP="004321B9"/>
    <w:p w14:paraId="70FBF239" w14:textId="0E351017" w:rsidR="004321B9" w:rsidRDefault="004321B9" w:rsidP="004321B9">
      <w:r w:rsidRPr="004321B9">
        <w:t>Dr Baig has a standard shared care agreement</w:t>
      </w:r>
      <w:r w:rsidR="00DC0BB5">
        <w:t xml:space="preserve"> as noted in the Appendix</w:t>
      </w:r>
      <w:r w:rsidRPr="004321B9">
        <w:t xml:space="preserve">. If the GP surgery has a specific shared care agreement that Dr Baig would need to complete, I would be grateful if this could be forwarded to him at </w:t>
      </w:r>
      <w:hyperlink r:id="rId7" w:history="1">
        <w:r w:rsidRPr="004321B9">
          <w:rPr>
            <w:rStyle w:val="Hyperlink"/>
          </w:rPr>
          <w:t>umid@umid.co.uk</w:t>
        </w:r>
      </w:hyperlink>
      <w:r w:rsidRPr="004321B9">
        <w:t>.</w:t>
      </w:r>
    </w:p>
    <w:p w14:paraId="1F8341CA" w14:textId="77777777" w:rsidR="004321B9" w:rsidRPr="004321B9" w:rsidRDefault="004321B9" w:rsidP="004321B9"/>
    <w:p w14:paraId="0C886DCB" w14:textId="77777777" w:rsidR="004321B9" w:rsidRDefault="004321B9" w:rsidP="004321B9">
      <w:r w:rsidRPr="004321B9">
        <w:t>Yours sincerely,</w:t>
      </w:r>
    </w:p>
    <w:p w14:paraId="7F48C338" w14:textId="77777777" w:rsidR="004321B9" w:rsidRPr="004321B9" w:rsidRDefault="004321B9" w:rsidP="004321B9"/>
    <w:p w14:paraId="68E8CC9A" w14:textId="77777777" w:rsidR="004321B9" w:rsidRDefault="004321B9" w:rsidP="004321B9">
      <w:pPr>
        <w:rPr>
          <w:color w:val="FF0000"/>
        </w:rPr>
      </w:pPr>
      <w:r w:rsidRPr="004321B9">
        <w:rPr>
          <w:color w:val="FF0000"/>
        </w:rPr>
        <w:t>[Your name]</w:t>
      </w:r>
    </w:p>
    <w:p w14:paraId="3D532430" w14:textId="47FB983A" w:rsidR="004321B9" w:rsidRDefault="004321B9" w:rsidP="004321B9">
      <w:pPr>
        <w:rPr>
          <w:color w:val="FF0000"/>
        </w:rPr>
      </w:pPr>
      <w:r w:rsidRPr="004321B9">
        <w:rPr>
          <w:color w:val="000000" w:themeColor="text1"/>
        </w:rPr>
        <w:t xml:space="preserve">Mobile: </w:t>
      </w:r>
      <w:r>
        <w:rPr>
          <w:color w:val="FF0000"/>
        </w:rPr>
        <w:t>[Enter mobile number]</w:t>
      </w:r>
    </w:p>
    <w:p w14:paraId="7E0574AA" w14:textId="74FFF1AB" w:rsidR="004321B9" w:rsidRPr="004321B9" w:rsidRDefault="004321B9" w:rsidP="004321B9">
      <w:pPr>
        <w:rPr>
          <w:color w:val="FF0000"/>
        </w:rPr>
      </w:pPr>
      <w:r w:rsidRPr="004321B9">
        <w:rPr>
          <w:color w:val="000000" w:themeColor="text1"/>
        </w:rPr>
        <w:t xml:space="preserve">Email: </w:t>
      </w:r>
      <w:r>
        <w:rPr>
          <w:color w:val="FF0000"/>
        </w:rPr>
        <w:t>[Enter email]</w:t>
      </w:r>
    </w:p>
    <w:p w14:paraId="4310E474" w14:textId="77777777" w:rsidR="004321B9" w:rsidRDefault="004321B9" w:rsidP="00B06410">
      <w:pPr>
        <w:rPr>
          <w:color w:val="FF0000"/>
        </w:rPr>
      </w:pPr>
    </w:p>
    <w:p w14:paraId="429AC58B" w14:textId="77777777" w:rsidR="004321B9" w:rsidRDefault="004321B9" w:rsidP="00B06410">
      <w:pPr>
        <w:rPr>
          <w:color w:val="FF0000"/>
        </w:rPr>
      </w:pPr>
    </w:p>
    <w:p w14:paraId="7F987DFD" w14:textId="77777777" w:rsidR="004321B9" w:rsidRDefault="004321B9" w:rsidP="00B06410">
      <w:pPr>
        <w:rPr>
          <w:color w:val="FF0000"/>
        </w:rPr>
      </w:pPr>
    </w:p>
    <w:tbl>
      <w:tblPr>
        <w:tblStyle w:val="TableGrid"/>
        <w:tblW w:w="0" w:type="auto"/>
        <w:shd w:val="clear" w:color="auto" w:fill="CAEDFB" w:themeFill="accent4" w:themeFillTint="33"/>
        <w:tblLook w:val="04A0" w:firstRow="1" w:lastRow="0" w:firstColumn="1" w:lastColumn="0" w:noHBand="0" w:noVBand="1"/>
      </w:tblPr>
      <w:tblGrid>
        <w:gridCol w:w="9016"/>
      </w:tblGrid>
      <w:tr w:rsidR="004321B9" w14:paraId="5B6C7705" w14:textId="77777777" w:rsidTr="00495544">
        <w:tc>
          <w:tcPr>
            <w:tcW w:w="9016" w:type="dxa"/>
            <w:shd w:val="clear" w:color="auto" w:fill="CAEDFB" w:themeFill="accent4" w:themeFillTint="33"/>
          </w:tcPr>
          <w:p w14:paraId="5A251391" w14:textId="77777777" w:rsidR="004321B9" w:rsidRDefault="004321B9" w:rsidP="00495544">
            <w:pPr>
              <w:jc w:val="both"/>
              <w:rPr>
                <w:rFonts w:cs="Tahoma"/>
                <w:b/>
                <w:bCs/>
                <w:szCs w:val="22"/>
              </w:rPr>
            </w:pPr>
            <w:r>
              <w:rPr>
                <w:rFonts w:cs="Tahoma"/>
                <w:b/>
                <w:bCs/>
                <w:szCs w:val="22"/>
              </w:rPr>
              <w:lastRenderedPageBreak/>
              <w:t>APPENDIX 1 – SUMMARY OF AREAS OF RESPONSIBILITY</w:t>
            </w:r>
          </w:p>
        </w:tc>
      </w:tr>
    </w:tbl>
    <w:p w14:paraId="6B1ED062" w14:textId="77777777" w:rsidR="004321B9" w:rsidRDefault="004321B9" w:rsidP="004321B9">
      <w:pPr>
        <w:rPr>
          <w:rFonts w:cs="Tahoma"/>
          <w:szCs w:val="22"/>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4321B9" w14:paraId="17B3F917" w14:textId="77777777" w:rsidTr="00495544">
        <w:tc>
          <w:tcPr>
            <w:tcW w:w="9016" w:type="dxa"/>
            <w:shd w:val="clear" w:color="auto" w:fill="D9D9D9" w:themeFill="background1" w:themeFillShade="D9"/>
          </w:tcPr>
          <w:p w14:paraId="182D2A14" w14:textId="77777777" w:rsidR="004321B9" w:rsidRDefault="004321B9" w:rsidP="00495544">
            <w:pPr>
              <w:jc w:val="both"/>
              <w:rPr>
                <w:rFonts w:cs="Tahoma"/>
                <w:b/>
                <w:bCs/>
                <w:szCs w:val="22"/>
              </w:rPr>
            </w:pPr>
            <w:r>
              <w:rPr>
                <w:rFonts w:cs="Tahoma"/>
                <w:b/>
                <w:bCs/>
                <w:szCs w:val="22"/>
              </w:rPr>
              <w:t>Dr Kaleem Baig (Consultant Psychiatrist)</w:t>
            </w:r>
          </w:p>
        </w:tc>
      </w:tr>
    </w:tbl>
    <w:p w14:paraId="6E67A731" w14:textId="77777777" w:rsidR="004321B9" w:rsidRDefault="004321B9" w:rsidP="004321B9">
      <w:pPr>
        <w:rPr>
          <w:rFonts w:cs="Tahoma"/>
          <w:szCs w:val="22"/>
        </w:rPr>
      </w:pPr>
    </w:p>
    <w:tbl>
      <w:tblPr>
        <w:tblStyle w:val="TableGrid"/>
        <w:tblW w:w="0" w:type="auto"/>
        <w:tblLook w:val="04A0" w:firstRow="1" w:lastRow="0" w:firstColumn="1" w:lastColumn="0" w:noHBand="0" w:noVBand="1"/>
      </w:tblPr>
      <w:tblGrid>
        <w:gridCol w:w="9016"/>
      </w:tblGrid>
      <w:tr w:rsidR="004321B9" w14:paraId="0B073F04" w14:textId="77777777" w:rsidTr="00495544">
        <w:tc>
          <w:tcPr>
            <w:tcW w:w="9016" w:type="dxa"/>
          </w:tcPr>
          <w:p w14:paraId="1985F9B7" w14:textId="77777777" w:rsidR="004321B9" w:rsidRPr="00F86AF3" w:rsidRDefault="004321B9" w:rsidP="004321B9">
            <w:pPr>
              <w:numPr>
                <w:ilvl w:val="0"/>
                <w:numId w:val="3"/>
              </w:numPr>
              <w:jc w:val="both"/>
              <w:rPr>
                <w:rFonts w:cs="Tahoma"/>
                <w:szCs w:val="22"/>
              </w:rPr>
            </w:pPr>
            <w:r w:rsidRPr="00F86AF3">
              <w:rPr>
                <w:rFonts w:cs="Tahoma"/>
                <w:szCs w:val="22"/>
              </w:rPr>
              <w:t xml:space="preserve">To assess the patient and establish a diagnosis of attention-deficit hyperactivity disorder; to determine a management strategy and communicate this to the patient/carer &amp; GP. </w:t>
            </w:r>
          </w:p>
          <w:p w14:paraId="43C99F26" w14:textId="77777777" w:rsidR="004321B9" w:rsidRPr="00F86AF3" w:rsidRDefault="004321B9" w:rsidP="004321B9">
            <w:pPr>
              <w:numPr>
                <w:ilvl w:val="0"/>
                <w:numId w:val="3"/>
              </w:numPr>
              <w:jc w:val="both"/>
              <w:rPr>
                <w:rFonts w:cs="Tahoma"/>
                <w:szCs w:val="22"/>
              </w:rPr>
            </w:pPr>
            <w:r w:rsidRPr="00F86AF3">
              <w:rPr>
                <w:rFonts w:cs="Tahoma"/>
                <w:szCs w:val="22"/>
              </w:rPr>
              <w:t>Consider and discuss ADHD pharmacological treatment options with the patient. This should include consideration of contra-indications, interactions and cautions, a discussion of the reasons for treatment, the possible adverse effects and the lack of information in relation to longer-term outcomes including effectiveness and adverse effects.</w:t>
            </w:r>
          </w:p>
          <w:p w14:paraId="28EB3B17" w14:textId="77777777" w:rsidR="004321B9" w:rsidRPr="00F86AF3" w:rsidRDefault="004321B9" w:rsidP="004321B9">
            <w:pPr>
              <w:numPr>
                <w:ilvl w:val="0"/>
                <w:numId w:val="3"/>
              </w:numPr>
              <w:jc w:val="both"/>
              <w:rPr>
                <w:rFonts w:cs="Tahoma"/>
                <w:szCs w:val="22"/>
              </w:rPr>
            </w:pPr>
            <w:r w:rsidRPr="00F86AF3">
              <w:rPr>
                <w:rFonts w:cs="Tahoma"/>
                <w:szCs w:val="22"/>
              </w:rPr>
              <w:t>Ensure relevant baseline investigations are performed, documenting height, weight, blood pressure and pulse and additional relevant investigations (e.g. ECG if family history of arrhythmias or sudden death or if the treatment may affect the QT interval).</w:t>
            </w:r>
          </w:p>
          <w:p w14:paraId="6346A35E" w14:textId="77777777" w:rsidR="004321B9" w:rsidRPr="00F86AF3" w:rsidRDefault="004321B9" w:rsidP="004321B9">
            <w:pPr>
              <w:numPr>
                <w:ilvl w:val="0"/>
                <w:numId w:val="3"/>
              </w:numPr>
              <w:jc w:val="both"/>
              <w:rPr>
                <w:rFonts w:cs="Tahoma"/>
                <w:szCs w:val="22"/>
              </w:rPr>
            </w:pPr>
            <w:r w:rsidRPr="00F86AF3">
              <w:rPr>
                <w:rFonts w:cs="Tahoma"/>
                <w:szCs w:val="22"/>
              </w:rPr>
              <w:t xml:space="preserve">Initiate treatment with methylphenidate, </w:t>
            </w:r>
            <w:proofErr w:type="spellStart"/>
            <w:r w:rsidRPr="00F86AF3">
              <w:rPr>
                <w:rFonts w:cs="Tahoma"/>
                <w:szCs w:val="22"/>
              </w:rPr>
              <w:t>lisdexamfetamine</w:t>
            </w:r>
            <w:proofErr w:type="spellEnd"/>
            <w:r w:rsidRPr="00F86AF3">
              <w:rPr>
                <w:rFonts w:cs="Tahoma"/>
                <w:szCs w:val="22"/>
              </w:rPr>
              <w:t xml:space="preserve">, </w:t>
            </w:r>
            <w:proofErr w:type="spellStart"/>
            <w:r w:rsidRPr="00F86AF3">
              <w:rPr>
                <w:rFonts w:cs="Tahoma"/>
                <w:szCs w:val="22"/>
              </w:rPr>
              <w:t>dexamfetamine</w:t>
            </w:r>
            <w:proofErr w:type="spellEnd"/>
            <w:r w:rsidRPr="00F86AF3">
              <w:rPr>
                <w:rFonts w:cs="Tahoma"/>
                <w:szCs w:val="22"/>
              </w:rPr>
              <w:t xml:space="preserve"> or atomoxetine and prescribe medication until the dose has been stabilised. During this time monitor the patient as required for symptom control and side effects.  Discontinue if no improvement of symptoms. </w:t>
            </w:r>
          </w:p>
          <w:p w14:paraId="27F627F7" w14:textId="77777777" w:rsidR="004321B9" w:rsidRPr="00F86AF3" w:rsidRDefault="004321B9" w:rsidP="004321B9">
            <w:pPr>
              <w:numPr>
                <w:ilvl w:val="0"/>
                <w:numId w:val="3"/>
              </w:numPr>
              <w:jc w:val="both"/>
              <w:rPr>
                <w:rFonts w:cs="Tahoma"/>
                <w:szCs w:val="22"/>
              </w:rPr>
            </w:pPr>
            <w:r w:rsidRPr="00F86AF3">
              <w:rPr>
                <w:rFonts w:cs="Tahoma"/>
                <w:szCs w:val="22"/>
              </w:rPr>
              <w:t>Provide the GP with appropriate clinical information and individual patient information.</w:t>
            </w:r>
          </w:p>
          <w:p w14:paraId="2967E7E7" w14:textId="77777777" w:rsidR="004321B9" w:rsidRPr="00F86AF3" w:rsidRDefault="004321B9" w:rsidP="004321B9">
            <w:pPr>
              <w:numPr>
                <w:ilvl w:val="0"/>
                <w:numId w:val="3"/>
              </w:numPr>
              <w:jc w:val="both"/>
              <w:rPr>
                <w:rFonts w:cs="Tahoma"/>
                <w:szCs w:val="22"/>
              </w:rPr>
            </w:pPr>
            <w:r w:rsidRPr="00F86AF3">
              <w:rPr>
                <w:rFonts w:cs="Tahoma"/>
                <w:szCs w:val="22"/>
              </w:rPr>
              <w:t>Be available to give advice to GP if the patient’s condition changes and to ensure that procedures are in place for prompt specialist review.</w:t>
            </w:r>
          </w:p>
          <w:p w14:paraId="1238531A" w14:textId="77777777" w:rsidR="004321B9" w:rsidRPr="00F86AF3" w:rsidRDefault="004321B9" w:rsidP="004321B9">
            <w:pPr>
              <w:numPr>
                <w:ilvl w:val="0"/>
                <w:numId w:val="3"/>
              </w:numPr>
              <w:jc w:val="both"/>
              <w:rPr>
                <w:rFonts w:cs="Tahoma"/>
                <w:szCs w:val="22"/>
              </w:rPr>
            </w:pPr>
            <w:r w:rsidRPr="00F86AF3">
              <w:rPr>
                <w:rFonts w:cs="Tahoma"/>
                <w:szCs w:val="22"/>
              </w:rPr>
              <w:t xml:space="preserve">Once ADHD symptoms have been reduced and the medication has been stabilised (see point 4 above), the patient will then be reviewed every six months by the specialist, whether or not a shared care agreement is in place. The review should include an assessment of symptoms, benefit of treatment and review of possible side effects. These periodic reviews are not required if the patient is not prescribed medication for ADHD. </w:t>
            </w:r>
          </w:p>
          <w:p w14:paraId="15D8B92E" w14:textId="77777777" w:rsidR="004321B9" w:rsidRPr="00F86AF3" w:rsidRDefault="004321B9" w:rsidP="004321B9">
            <w:pPr>
              <w:numPr>
                <w:ilvl w:val="0"/>
                <w:numId w:val="3"/>
              </w:numPr>
              <w:jc w:val="both"/>
              <w:rPr>
                <w:rFonts w:cs="Tahoma"/>
                <w:szCs w:val="22"/>
              </w:rPr>
            </w:pPr>
            <w:r w:rsidRPr="00F86AF3">
              <w:rPr>
                <w:rFonts w:cs="Tahoma"/>
                <w:szCs w:val="22"/>
              </w:rPr>
              <w:t>Consider discontinuing treatment periodically (usually annually) and advise the GP accordingly. Provide supervision and assessment of the patient during these periods.</w:t>
            </w:r>
          </w:p>
          <w:p w14:paraId="3644DE0C" w14:textId="77777777" w:rsidR="004321B9" w:rsidRPr="00F86AF3" w:rsidRDefault="004321B9" w:rsidP="004321B9">
            <w:pPr>
              <w:pStyle w:val="ListParagraph"/>
              <w:numPr>
                <w:ilvl w:val="0"/>
                <w:numId w:val="3"/>
              </w:numPr>
              <w:rPr>
                <w:rFonts w:cs="Tahoma"/>
                <w:szCs w:val="22"/>
              </w:rPr>
            </w:pPr>
            <w:r w:rsidRPr="00F86AF3">
              <w:rPr>
                <w:rFonts w:cs="Tahoma"/>
                <w:szCs w:val="22"/>
              </w:rPr>
              <w:t>If applicable, liaise with the patient’s educational institution and suggest appropriate extra educational provision where necessary.</w:t>
            </w:r>
          </w:p>
        </w:tc>
      </w:tr>
    </w:tbl>
    <w:p w14:paraId="300928F6" w14:textId="77777777" w:rsidR="004321B9" w:rsidRDefault="004321B9" w:rsidP="004321B9">
      <w:pPr>
        <w:rPr>
          <w:rFonts w:cs="Tahoma"/>
          <w:szCs w:val="22"/>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4321B9" w14:paraId="2E6B6CE9" w14:textId="77777777" w:rsidTr="00495544">
        <w:tc>
          <w:tcPr>
            <w:tcW w:w="9016" w:type="dxa"/>
            <w:shd w:val="clear" w:color="auto" w:fill="D9D9D9" w:themeFill="background1" w:themeFillShade="D9"/>
          </w:tcPr>
          <w:p w14:paraId="6A753B28" w14:textId="77777777" w:rsidR="004321B9" w:rsidRPr="00B106DA" w:rsidRDefault="004321B9" w:rsidP="00495544">
            <w:pPr>
              <w:jc w:val="both"/>
              <w:rPr>
                <w:rFonts w:cs="Tahoma"/>
                <w:b/>
                <w:bCs/>
                <w:szCs w:val="22"/>
              </w:rPr>
            </w:pPr>
            <w:r>
              <w:rPr>
                <w:rFonts w:cs="Tahoma"/>
                <w:b/>
                <w:bCs/>
                <w:szCs w:val="22"/>
              </w:rPr>
              <w:t>Patient</w:t>
            </w:r>
          </w:p>
        </w:tc>
      </w:tr>
    </w:tbl>
    <w:p w14:paraId="6A3DF864" w14:textId="77777777" w:rsidR="004321B9" w:rsidRDefault="004321B9" w:rsidP="004321B9">
      <w:pPr>
        <w:rPr>
          <w:rFonts w:cs="Tahoma"/>
          <w:szCs w:val="22"/>
        </w:rPr>
      </w:pPr>
    </w:p>
    <w:tbl>
      <w:tblPr>
        <w:tblStyle w:val="TableGrid"/>
        <w:tblW w:w="0" w:type="auto"/>
        <w:tblLook w:val="04A0" w:firstRow="1" w:lastRow="0" w:firstColumn="1" w:lastColumn="0" w:noHBand="0" w:noVBand="1"/>
      </w:tblPr>
      <w:tblGrid>
        <w:gridCol w:w="9016"/>
      </w:tblGrid>
      <w:tr w:rsidR="004321B9" w14:paraId="06413DE9" w14:textId="77777777" w:rsidTr="00495544">
        <w:tc>
          <w:tcPr>
            <w:tcW w:w="9016" w:type="dxa"/>
          </w:tcPr>
          <w:p w14:paraId="666EF4AF" w14:textId="77777777" w:rsidR="004321B9" w:rsidRPr="0088471E" w:rsidRDefault="004321B9" w:rsidP="004321B9">
            <w:pPr>
              <w:numPr>
                <w:ilvl w:val="0"/>
                <w:numId w:val="4"/>
              </w:numPr>
              <w:rPr>
                <w:rFonts w:cs="Tahoma"/>
                <w:i/>
                <w:szCs w:val="22"/>
              </w:rPr>
            </w:pPr>
            <w:bookmarkStart w:id="0" w:name="OLE_LINK1"/>
            <w:r w:rsidRPr="0088471E">
              <w:rPr>
                <w:rFonts w:cs="Tahoma"/>
                <w:szCs w:val="22"/>
              </w:rPr>
              <w:t>Attend follow up appointments with Consultant/Specialist (every six months, and sooner if presentation changes or if advised by your GP or the specialist for a review)</w:t>
            </w:r>
          </w:p>
          <w:p w14:paraId="49ADCE0B" w14:textId="77777777" w:rsidR="004321B9" w:rsidRPr="0088471E" w:rsidRDefault="004321B9" w:rsidP="004321B9">
            <w:pPr>
              <w:numPr>
                <w:ilvl w:val="0"/>
                <w:numId w:val="4"/>
              </w:numPr>
              <w:rPr>
                <w:rFonts w:cs="Tahoma"/>
                <w:i/>
                <w:szCs w:val="22"/>
              </w:rPr>
            </w:pPr>
            <w:r w:rsidRPr="0088471E">
              <w:rPr>
                <w:rFonts w:cs="Tahoma"/>
                <w:szCs w:val="22"/>
              </w:rPr>
              <w:t>Attend for tests and follow up appointments with GP (at least six monthly)</w:t>
            </w:r>
          </w:p>
          <w:p w14:paraId="2BC64820" w14:textId="77777777" w:rsidR="004321B9" w:rsidRPr="0088471E" w:rsidRDefault="004321B9" w:rsidP="004321B9">
            <w:pPr>
              <w:numPr>
                <w:ilvl w:val="0"/>
                <w:numId w:val="4"/>
              </w:numPr>
              <w:rPr>
                <w:rFonts w:cs="Tahoma"/>
                <w:i/>
                <w:szCs w:val="22"/>
              </w:rPr>
            </w:pPr>
            <w:r w:rsidRPr="0088471E">
              <w:rPr>
                <w:rFonts w:cs="Tahoma"/>
                <w:szCs w:val="22"/>
              </w:rPr>
              <w:t>Keep medication safe and for personal use only.</w:t>
            </w:r>
          </w:p>
          <w:p w14:paraId="70C9BC14" w14:textId="77777777" w:rsidR="004321B9" w:rsidRPr="00F86AF3" w:rsidRDefault="004321B9" w:rsidP="004321B9">
            <w:pPr>
              <w:pStyle w:val="ListParagraph"/>
              <w:numPr>
                <w:ilvl w:val="0"/>
                <w:numId w:val="4"/>
              </w:numPr>
              <w:rPr>
                <w:rFonts w:cs="Tahoma"/>
                <w:szCs w:val="22"/>
              </w:rPr>
            </w:pPr>
            <w:r w:rsidRPr="0088471E">
              <w:rPr>
                <w:rFonts w:cs="Tahoma"/>
                <w:szCs w:val="22"/>
                <w:lang w:eastAsia="en-GB"/>
              </w:rPr>
              <w:t>To report any adverse effects, deterioration, and response to medicines to the Consultant/Specialist and/or GP.</w:t>
            </w:r>
            <w:bookmarkEnd w:id="0"/>
          </w:p>
        </w:tc>
      </w:tr>
    </w:tbl>
    <w:p w14:paraId="0FF0C3AD" w14:textId="77777777" w:rsidR="004321B9" w:rsidRDefault="004321B9" w:rsidP="004321B9">
      <w:pPr>
        <w:rPr>
          <w:rFonts w:cs="Tahoma"/>
          <w:szCs w:val="22"/>
        </w:rPr>
      </w:pPr>
    </w:p>
    <w:p w14:paraId="775CC03D" w14:textId="77777777" w:rsidR="004321B9" w:rsidRDefault="004321B9" w:rsidP="004321B9">
      <w:pPr>
        <w:rPr>
          <w:rFonts w:cs="Tahoma"/>
          <w:szCs w:val="22"/>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4321B9" w14:paraId="2E7DA509" w14:textId="77777777" w:rsidTr="00495544">
        <w:tc>
          <w:tcPr>
            <w:tcW w:w="9016" w:type="dxa"/>
            <w:shd w:val="clear" w:color="auto" w:fill="D9D9D9" w:themeFill="background1" w:themeFillShade="D9"/>
          </w:tcPr>
          <w:p w14:paraId="3C47EDE1" w14:textId="77777777" w:rsidR="004321B9" w:rsidRPr="00B106DA" w:rsidRDefault="004321B9" w:rsidP="00495544">
            <w:pPr>
              <w:jc w:val="both"/>
              <w:rPr>
                <w:rFonts w:cs="Tahoma"/>
                <w:b/>
                <w:bCs/>
                <w:szCs w:val="22"/>
              </w:rPr>
            </w:pPr>
            <w:r>
              <w:rPr>
                <w:rFonts w:cs="Tahoma"/>
                <w:b/>
                <w:bCs/>
                <w:szCs w:val="22"/>
              </w:rPr>
              <w:t>GP</w:t>
            </w:r>
          </w:p>
        </w:tc>
      </w:tr>
    </w:tbl>
    <w:p w14:paraId="25310B02" w14:textId="77777777" w:rsidR="004321B9" w:rsidRDefault="004321B9" w:rsidP="004321B9">
      <w:pPr>
        <w:rPr>
          <w:rFonts w:cs="Tahoma"/>
          <w:szCs w:val="22"/>
        </w:rPr>
      </w:pPr>
    </w:p>
    <w:tbl>
      <w:tblPr>
        <w:tblStyle w:val="TableGrid"/>
        <w:tblW w:w="0" w:type="auto"/>
        <w:tblLook w:val="04A0" w:firstRow="1" w:lastRow="0" w:firstColumn="1" w:lastColumn="0" w:noHBand="0" w:noVBand="1"/>
      </w:tblPr>
      <w:tblGrid>
        <w:gridCol w:w="9016"/>
      </w:tblGrid>
      <w:tr w:rsidR="004321B9" w14:paraId="3E8745FE" w14:textId="77777777" w:rsidTr="00495544">
        <w:tc>
          <w:tcPr>
            <w:tcW w:w="9016" w:type="dxa"/>
          </w:tcPr>
          <w:p w14:paraId="6580232A" w14:textId="77777777" w:rsidR="004321B9" w:rsidRPr="00F86AF3" w:rsidRDefault="004321B9" w:rsidP="004321B9">
            <w:pPr>
              <w:pStyle w:val="ListParagraph"/>
              <w:numPr>
                <w:ilvl w:val="0"/>
                <w:numId w:val="5"/>
              </w:numPr>
            </w:pPr>
            <w:r w:rsidRPr="00F86AF3">
              <w:t>Monitor the patient’s overall health and wellbeing.</w:t>
            </w:r>
          </w:p>
          <w:p w14:paraId="7FD2017C" w14:textId="77777777" w:rsidR="004321B9" w:rsidRPr="00F86AF3" w:rsidRDefault="004321B9" w:rsidP="004321B9">
            <w:pPr>
              <w:pStyle w:val="ListParagraph"/>
              <w:numPr>
                <w:ilvl w:val="0"/>
                <w:numId w:val="5"/>
              </w:numPr>
            </w:pPr>
            <w:r w:rsidRPr="00F86AF3">
              <w:t>Prescribe the treatment once it has been established, the patient stabilised on a particular dose and brand of medication and the care of patient has been transferred and accepted.</w:t>
            </w:r>
          </w:p>
          <w:p w14:paraId="368FDC39" w14:textId="77777777" w:rsidR="004321B9" w:rsidRPr="00F86AF3" w:rsidRDefault="004321B9" w:rsidP="004321B9">
            <w:pPr>
              <w:pStyle w:val="ListParagraph"/>
              <w:numPr>
                <w:ilvl w:val="0"/>
                <w:numId w:val="5"/>
              </w:numPr>
            </w:pPr>
            <w:r w:rsidRPr="00F86AF3">
              <w:t xml:space="preserve">Monitor weight, blood pressure, and pulse every six months. </w:t>
            </w:r>
          </w:p>
          <w:p w14:paraId="48003905" w14:textId="77777777" w:rsidR="004321B9" w:rsidRPr="00F86AF3" w:rsidRDefault="004321B9" w:rsidP="004321B9">
            <w:pPr>
              <w:pStyle w:val="ListParagraph"/>
              <w:numPr>
                <w:ilvl w:val="0"/>
                <w:numId w:val="5"/>
              </w:numPr>
            </w:pPr>
            <w:r w:rsidRPr="00F86AF3">
              <w:t>Please re-refer the patient or seek specialist advice from the Consultant/Specialist if there is deterioration in ADHD symptomatology, behaviour, evidence of suicidal ideation or adverse effects of medication.</w:t>
            </w:r>
          </w:p>
          <w:p w14:paraId="4B984524" w14:textId="77777777" w:rsidR="004321B9" w:rsidRPr="00F86AF3" w:rsidRDefault="004321B9" w:rsidP="004321B9">
            <w:pPr>
              <w:pStyle w:val="ListParagraph"/>
              <w:numPr>
                <w:ilvl w:val="0"/>
                <w:numId w:val="5"/>
              </w:numPr>
            </w:pPr>
            <w:r w:rsidRPr="00F86AF3">
              <w:t>Advise the patient to attend specialist appointments (every six months).</w:t>
            </w:r>
          </w:p>
          <w:p w14:paraId="2BA14521" w14:textId="77777777" w:rsidR="004321B9" w:rsidRPr="00F86AF3" w:rsidRDefault="004321B9" w:rsidP="004321B9">
            <w:pPr>
              <w:pStyle w:val="ListParagraph"/>
              <w:numPr>
                <w:ilvl w:val="0"/>
                <w:numId w:val="5"/>
              </w:numPr>
            </w:pPr>
            <w:r w:rsidRPr="00F86AF3">
              <w:t xml:space="preserve">Although misuse of methylphenidate, </w:t>
            </w:r>
            <w:proofErr w:type="spellStart"/>
            <w:r w:rsidRPr="00F86AF3">
              <w:t>lisdexamfetamine</w:t>
            </w:r>
            <w:proofErr w:type="spellEnd"/>
            <w:r w:rsidRPr="00F86AF3">
              <w:t xml:space="preserve"> and dexamfetamine is rare, the GP should alert the Consultant/Specialist of any previous misuse of drugs by the </w:t>
            </w:r>
            <w:r w:rsidRPr="00F86AF3">
              <w:lastRenderedPageBreak/>
              <w:t xml:space="preserve">patient, family members or known associates (if such information is known). This is particularly important because methylphenidate, lisdexamfetamine and dexamfetamine are controlled drugs. </w:t>
            </w:r>
          </w:p>
          <w:p w14:paraId="64E5CEAA" w14:textId="77777777" w:rsidR="004321B9" w:rsidRPr="00F86AF3" w:rsidRDefault="004321B9" w:rsidP="004321B9">
            <w:pPr>
              <w:pStyle w:val="ListParagraph"/>
              <w:numPr>
                <w:ilvl w:val="0"/>
                <w:numId w:val="5"/>
              </w:numPr>
            </w:pPr>
            <w:r w:rsidRPr="00F86AF3">
              <w:t xml:space="preserve">Observe for potential liver toxicity with atomoxetine, signs </w:t>
            </w:r>
            <w:proofErr w:type="gramStart"/>
            <w:r w:rsidRPr="00F86AF3">
              <w:t>include:</w:t>
            </w:r>
            <w:proofErr w:type="gramEnd"/>
            <w:r w:rsidRPr="00F86AF3">
              <w:t xml:space="preserve"> abdominal pain, unexplained nausea and malaise, darkening of urine or jaundice.</w:t>
            </w:r>
          </w:p>
          <w:p w14:paraId="5F363B21" w14:textId="77777777" w:rsidR="004321B9" w:rsidRPr="00F86AF3" w:rsidRDefault="004321B9" w:rsidP="004321B9">
            <w:pPr>
              <w:pStyle w:val="ListParagraph"/>
              <w:numPr>
                <w:ilvl w:val="0"/>
                <w:numId w:val="5"/>
              </w:numPr>
              <w:rPr>
                <w:rFonts w:cs="Tahoma"/>
                <w:szCs w:val="22"/>
              </w:rPr>
            </w:pPr>
            <w:r w:rsidRPr="00F86AF3">
              <w:t xml:space="preserve">To report any adverse drug reactions to the Medicines and Healthcare Products Regulatory Authority (MHRA) as part of the yellow card scheme. </w:t>
            </w:r>
            <w:proofErr w:type="gramStart"/>
            <w:r w:rsidRPr="00F86AF3">
              <w:t>Refer back</w:t>
            </w:r>
            <w:proofErr w:type="gramEnd"/>
            <w:r w:rsidRPr="00F86AF3">
              <w:t xml:space="preserve"> to the Consultant/Specialist if the patient becomes pregnant.</w:t>
            </w:r>
          </w:p>
        </w:tc>
      </w:tr>
    </w:tbl>
    <w:p w14:paraId="6694F56A" w14:textId="77777777" w:rsidR="004321B9" w:rsidRDefault="004321B9" w:rsidP="004321B9">
      <w:pPr>
        <w:rPr>
          <w:rFonts w:eastAsiaTheme="minorEastAsia" w:cs="Tahoma"/>
          <w:noProof/>
          <w:szCs w:val="22"/>
        </w:rPr>
      </w:pPr>
    </w:p>
    <w:p w14:paraId="1185EEC1" w14:textId="77777777" w:rsidR="004321B9" w:rsidRPr="004321B9" w:rsidRDefault="004321B9" w:rsidP="00B06410">
      <w:pPr>
        <w:rPr>
          <w:color w:val="FF0000"/>
        </w:rPr>
      </w:pPr>
    </w:p>
    <w:sectPr w:rsidR="004321B9" w:rsidRPr="004321B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72F9" w14:textId="77777777" w:rsidR="00B978D5" w:rsidRDefault="00B978D5" w:rsidP="00262FF8">
      <w:r>
        <w:separator/>
      </w:r>
    </w:p>
  </w:endnote>
  <w:endnote w:type="continuationSeparator" w:id="0">
    <w:p w14:paraId="5BEB7271" w14:textId="77777777" w:rsidR="00B978D5" w:rsidRDefault="00B978D5" w:rsidP="0026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7381707"/>
      <w:docPartObj>
        <w:docPartGallery w:val="Page Numbers (Bottom of Page)"/>
        <w:docPartUnique/>
      </w:docPartObj>
    </w:sdtPr>
    <w:sdtContent>
      <w:p w14:paraId="211AABD8" w14:textId="71BADDC0" w:rsidR="00262FF8" w:rsidRDefault="00262FF8" w:rsidP="008823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AB7E56" w14:textId="77777777" w:rsidR="00262FF8" w:rsidRDefault="00262FF8" w:rsidP="00262F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6508997"/>
      <w:docPartObj>
        <w:docPartGallery w:val="Page Numbers (Bottom of Page)"/>
        <w:docPartUnique/>
      </w:docPartObj>
    </w:sdtPr>
    <w:sdtContent>
      <w:p w14:paraId="765ACC7F" w14:textId="38045822" w:rsidR="00262FF8" w:rsidRDefault="00262FF8" w:rsidP="008823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9B5D66" w14:textId="77777777" w:rsidR="00262FF8" w:rsidRDefault="00262FF8" w:rsidP="00262FF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3C40" w14:textId="77777777" w:rsidR="00262FF8" w:rsidRDefault="00262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ED24" w14:textId="77777777" w:rsidR="00B978D5" w:rsidRDefault="00B978D5" w:rsidP="00262FF8">
      <w:r>
        <w:separator/>
      </w:r>
    </w:p>
  </w:footnote>
  <w:footnote w:type="continuationSeparator" w:id="0">
    <w:p w14:paraId="04CE3644" w14:textId="77777777" w:rsidR="00B978D5" w:rsidRDefault="00B978D5" w:rsidP="00262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44A82" w14:textId="77777777" w:rsidR="00262FF8" w:rsidRDefault="00262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E5F8" w14:textId="77777777" w:rsidR="00262FF8" w:rsidRDefault="00262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70B6" w14:textId="77777777" w:rsidR="00262FF8" w:rsidRDefault="00262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65DF"/>
    <w:multiLevelType w:val="hybridMultilevel"/>
    <w:tmpl w:val="D04694C8"/>
    <w:lvl w:ilvl="0" w:tplc="50EA9BA6">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F938FE"/>
    <w:multiLevelType w:val="multilevel"/>
    <w:tmpl w:val="2E223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966392"/>
    <w:multiLevelType w:val="hybridMultilevel"/>
    <w:tmpl w:val="4A2CF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77023E"/>
    <w:multiLevelType w:val="hybridMultilevel"/>
    <w:tmpl w:val="DEC6C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BB725B"/>
    <w:multiLevelType w:val="hybridMultilevel"/>
    <w:tmpl w:val="CF7EC95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8417C5"/>
    <w:multiLevelType w:val="hybridMultilevel"/>
    <w:tmpl w:val="14EE7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4968A2"/>
    <w:multiLevelType w:val="multilevel"/>
    <w:tmpl w:val="ADE0E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2850600">
    <w:abstractNumId w:val="5"/>
  </w:num>
  <w:num w:numId="2" w16cid:durableId="1464537104">
    <w:abstractNumId w:val="3"/>
  </w:num>
  <w:num w:numId="3" w16cid:durableId="629945776">
    <w:abstractNumId w:val="4"/>
  </w:num>
  <w:num w:numId="4" w16cid:durableId="294069006">
    <w:abstractNumId w:val="0"/>
  </w:num>
  <w:num w:numId="5" w16cid:durableId="1993370004">
    <w:abstractNumId w:val="2"/>
  </w:num>
  <w:num w:numId="6" w16cid:durableId="350231776">
    <w:abstractNumId w:val="1"/>
  </w:num>
  <w:num w:numId="7" w16cid:durableId="13446989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10"/>
    <w:rsid w:val="001E35AB"/>
    <w:rsid w:val="00243C1A"/>
    <w:rsid w:val="00262FF8"/>
    <w:rsid w:val="004062FA"/>
    <w:rsid w:val="00414740"/>
    <w:rsid w:val="004321B9"/>
    <w:rsid w:val="004B5C24"/>
    <w:rsid w:val="00524CC6"/>
    <w:rsid w:val="005B6C0E"/>
    <w:rsid w:val="007A1943"/>
    <w:rsid w:val="007F69DF"/>
    <w:rsid w:val="008F08E8"/>
    <w:rsid w:val="00B06410"/>
    <w:rsid w:val="00B26B91"/>
    <w:rsid w:val="00B978D5"/>
    <w:rsid w:val="00D12D3E"/>
    <w:rsid w:val="00D64D24"/>
    <w:rsid w:val="00DC0BB5"/>
    <w:rsid w:val="00E1284F"/>
    <w:rsid w:val="00EB04A9"/>
    <w:rsid w:val="00F10E0C"/>
    <w:rsid w:val="00FC7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3ED1FA"/>
  <w15:chartTrackingRefBased/>
  <w15:docId w15:val="{3B0CE73B-2A2D-E240-8B78-273F6DD5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CC6"/>
    <w:rPr>
      <w:rFonts w:ascii="Tahoma" w:hAnsi="Tahoma"/>
      <w:sz w:val="21"/>
    </w:rPr>
  </w:style>
  <w:style w:type="paragraph" w:styleId="Heading1">
    <w:name w:val="heading 1"/>
    <w:basedOn w:val="Normal"/>
    <w:next w:val="Normal"/>
    <w:link w:val="Heading1Char"/>
    <w:uiPriority w:val="9"/>
    <w:qFormat/>
    <w:rsid w:val="00B06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4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4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064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064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64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64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64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410"/>
    <w:rPr>
      <w:rFonts w:eastAsiaTheme="majorEastAsia" w:cstheme="majorBidi"/>
      <w:i/>
      <w:iCs/>
      <w:color w:val="0F4761" w:themeColor="accent1" w:themeShade="BF"/>
      <w:sz w:val="21"/>
    </w:rPr>
  </w:style>
  <w:style w:type="character" w:customStyle="1" w:styleId="Heading5Char">
    <w:name w:val="Heading 5 Char"/>
    <w:basedOn w:val="DefaultParagraphFont"/>
    <w:link w:val="Heading5"/>
    <w:uiPriority w:val="9"/>
    <w:semiHidden/>
    <w:rsid w:val="00B06410"/>
    <w:rPr>
      <w:rFonts w:eastAsiaTheme="majorEastAsia" w:cstheme="majorBidi"/>
      <w:color w:val="0F4761" w:themeColor="accent1" w:themeShade="BF"/>
      <w:sz w:val="21"/>
    </w:rPr>
  </w:style>
  <w:style w:type="character" w:customStyle="1" w:styleId="Heading6Char">
    <w:name w:val="Heading 6 Char"/>
    <w:basedOn w:val="DefaultParagraphFont"/>
    <w:link w:val="Heading6"/>
    <w:uiPriority w:val="9"/>
    <w:semiHidden/>
    <w:rsid w:val="00B06410"/>
    <w:rPr>
      <w:rFonts w:eastAsiaTheme="majorEastAsia" w:cstheme="majorBidi"/>
      <w:i/>
      <w:iCs/>
      <w:color w:val="595959" w:themeColor="text1" w:themeTint="A6"/>
      <w:sz w:val="21"/>
    </w:rPr>
  </w:style>
  <w:style w:type="character" w:customStyle="1" w:styleId="Heading7Char">
    <w:name w:val="Heading 7 Char"/>
    <w:basedOn w:val="DefaultParagraphFont"/>
    <w:link w:val="Heading7"/>
    <w:uiPriority w:val="9"/>
    <w:semiHidden/>
    <w:rsid w:val="00B06410"/>
    <w:rPr>
      <w:rFonts w:eastAsiaTheme="majorEastAsia" w:cstheme="majorBidi"/>
      <w:color w:val="595959" w:themeColor="text1" w:themeTint="A6"/>
      <w:sz w:val="21"/>
    </w:rPr>
  </w:style>
  <w:style w:type="character" w:customStyle="1" w:styleId="Heading8Char">
    <w:name w:val="Heading 8 Char"/>
    <w:basedOn w:val="DefaultParagraphFont"/>
    <w:link w:val="Heading8"/>
    <w:uiPriority w:val="9"/>
    <w:semiHidden/>
    <w:rsid w:val="00B06410"/>
    <w:rPr>
      <w:rFonts w:eastAsiaTheme="majorEastAsia" w:cstheme="majorBidi"/>
      <w:i/>
      <w:iCs/>
      <w:color w:val="272727" w:themeColor="text1" w:themeTint="D8"/>
      <w:sz w:val="21"/>
    </w:rPr>
  </w:style>
  <w:style w:type="character" w:customStyle="1" w:styleId="Heading9Char">
    <w:name w:val="Heading 9 Char"/>
    <w:basedOn w:val="DefaultParagraphFont"/>
    <w:link w:val="Heading9"/>
    <w:uiPriority w:val="9"/>
    <w:semiHidden/>
    <w:rsid w:val="00B06410"/>
    <w:rPr>
      <w:rFonts w:eastAsiaTheme="majorEastAsia" w:cstheme="majorBidi"/>
      <w:color w:val="272727" w:themeColor="text1" w:themeTint="D8"/>
      <w:sz w:val="21"/>
    </w:rPr>
  </w:style>
  <w:style w:type="paragraph" w:styleId="Title">
    <w:name w:val="Title"/>
    <w:basedOn w:val="Normal"/>
    <w:next w:val="Normal"/>
    <w:link w:val="TitleChar"/>
    <w:uiPriority w:val="10"/>
    <w:qFormat/>
    <w:rsid w:val="00B064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41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4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6410"/>
    <w:rPr>
      <w:rFonts w:ascii="Tahoma" w:hAnsi="Tahoma"/>
      <w:i/>
      <w:iCs/>
      <w:color w:val="404040" w:themeColor="text1" w:themeTint="BF"/>
      <w:sz w:val="21"/>
    </w:rPr>
  </w:style>
  <w:style w:type="paragraph" w:styleId="ListParagraph">
    <w:name w:val="List Paragraph"/>
    <w:basedOn w:val="Normal"/>
    <w:uiPriority w:val="34"/>
    <w:qFormat/>
    <w:rsid w:val="00B06410"/>
    <w:pPr>
      <w:ind w:left="720"/>
      <w:contextualSpacing/>
    </w:pPr>
  </w:style>
  <w:style w:type="character" w:styleId="IntenseEmphasis">
    <w:name w:val="Intense Emphasis"/>
    <w:basedOn w:val="DefaultParagraphFont"/>
    <w:uiPriority w:val="21"/>
    <w:qFormat/>
    <w:rsid w:val="00B06410"/>
    <w:rPr>
      <w:i/>
      <w:iCs/>
      <w:color w:val="0F4761" w:themeColor="accent1" w:themeShade="BF"/>
    </w:rPr>
  </w:style>
  <w:style w:type="paragraph" w:styleId="IntenseQuote">
    <w:name w:val="Intense Quote"/>
    <w:basedOn w:val="Normal"/>
    <w:next w:val="Normal"/>
    <w:link w:val="IntenseQuoteChar"/>
    <w:uiPriority w:val="30"/>
    <w:qFormat/>
    <w:rsid w:val="00B06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410"/>
    <w:rPr>
      <w:rFonts w:ascii="Tahoma" w:hAnsi="Tahoma"/>
      <w:i/>
      <w:iCs/>
      <w:color w:val="0F4761" w:themeColor="accent1" w:themeShade="BF"/>
      <w:sz w:val="21"/>
    </w:rPr>
  </w:style>
  <w:style w:type="character" w:styleId="IntenseReference">
    <w:name w:val="Intense Reference"/>
    <w:basedOn w:val="DefaultParagraphFont"/>
    <w:uiPriority w:val="32"/>
    <w:qFormat/>
    <w:rsid w:val="00B06410"/>
    <w:rPr>
      <w:b/>
      <w:bCs/>
      <w:smallCaps/>
      <w:color w:val="0F4761" w:themeColor="accent1" w:themeShade="BF"/>
      <w:spacing w:val="5"/>
    </w:rPr>
  </w:style>
  <w:style w:type="character" w:styleId="Hyperlink">
    <w:name w:val="Hyperlink"/>
    <w:basedOn w:val="DefaultParagraphFont"/>
    <w:uiPriority w:val="99"/>
    <w:unhideWhenUsed/>
    <w:rsid w:val="004321B9"/>
    <w:rPr>
      <w:color w:val="467886" w:themeColor="hyperlink"/>
      <w:u w:val="single"/>
    </w:rPr>
  </w:style>
  <w:style w:type="character" w:styleId="UnresolvedMention">
    <w:name w:val="Unresolved Mention"/>
    <w:basedOn w:val="DefaultParagraphFont"/>
    <w:uiPriority w:val="99"/>
    <w:semiHidden/>
    <w:unhideWhenUsed/>
    <w:rsid w:val="004321B9"/>
    <w:rPr>
      <w:color w:val="605E5C"/>
      <w:shd w:val="clear" w:color="auto" w:fill="E1DFDD"/>
    </w:rPr>
  </w:style>
  <w:style w:type="table" w:styleId="TableGrid">
    <w:name w:val="Table Grid"/>
    <w:basedOn w:val="TableNormal"/>
    <w:uiPriority w:val="39"/>
    <w:rsid w:val="00432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62FF8"/>
    <w:pPr>
      <w:tabs>
        <w:tab w:val="center" w:pos="4513"/>
        <w:tab w:val="right" w:pos="9026"/>
      </w:tabs>
    </w:pPr>
  </w:style>
  <w:style w:type="character" w:customStyle="1" w:styleId="FooterChar">
    <w:name w:val="Footer Char"/>
    <w:basedOn w:val="DefaultParagraphFont"/>
    <w:link w:val="Footer"/>
    <w:uiPriority w:val="99"/>
    <w:rsid w:val="00262FF8"/>
    <w:rPr>
      <w:rFonts w:ascii="Tahoma" w:hAnsi="Tahoma"/>
      <w:sz w:val="21"/>
    </w:rPr>
  </w:style>
  <w:style w:type="character" w:styleId="PageNumber">
    <w:name w:val="page number"/>
    <w:basedOn w:val="DefaultParagraphFont"/>
    <w:uiPriority w:val="99"/>
    <w:semiHidden/>
    <w:unhideWhenUsed/>
    <w:rsid w:val="00262FF8"/>
  </w:style>
  <w:style w:type="paragraph" w:styleId="Header">
    <w:name w:val="header"/>
    <w:basedOn w:val="Normal"/>
    <w:link w:val="HeaderChar"/>
    <w:uiPriority w:val="99"/>
    <w:unhideWhenUsed/>
    <w:rsid w:val="00262FF8"/>
    <w:pPr>
      <w:tabs>
        <w:tab w:val="center" w:pos="4513"/>
        <w:tab w:val="right" w:pos="9026"/>
      </w:tabs>
    </w:pPr>
  </w:style>
  <w:style w:type="character" w:customStyle="1" w:styleId="HeaderChar">
    <w:name w:val="Header Char"/>
    <w:basedOn w:val="DefaultParagraphFont"/>
    <w:link w:val="Header"/>
    <w:uiPriority w:val="99"/>
    <w:rsid w:val="00262FF8"/>
    <w:rPr>
      <w:rFonts w:ascii="Tahoma" w:hAnsi="Tahom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7238">
      <w:bodyDiv w:val="1"/>
      <w:marLeft w:val="0"/>
      <w:marRight w:val="0"/>
      <w:marTop w:val="0"/>
      <w:marBottom w:val="0"/>
      <w:divBdr>
        <w:top w:val="none" w:sz="0" w:space="0" w:color="auto"/>
        <w:left w:val="none" w:sz="0" w:space="0" w:color="auto"/>
        <w:bottom w:val="none" w:sz="0" w:space="0" w:color="auto"/>
        <w:right w:val="none" w:sz="0" w:space="0" w:color="auto"/>
      </w:divBdr>
    </w:div>
    <w:div w:id="1570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umid@umid.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Kaleem Baig</dc:creator>
  <cp:keywords/>
  <dc:description/>
  <cp:lastModifiedBy>Kaleem Baig</cp:lastModifiedBy>
  <cp:revision>5</cp:revision>
  <dcterms:created xsi:type="dcterms:W3CDTF">2024-10-06T21:29:00Z</dcterms:created>
  <dcterms:modified xsi:type="dcterms:W3CDTF">2025-06-25T09:32:00Z</dcterms:modified>
</cp:coreProperties>
</file>