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E9E7E2"/>
          <w:left w:val="single" w:sz="4" w:space="0" w:color="E9E7E2"/>
          <w:bottom w:val="single" w:sz="4" w:space="0" w:color="E9E7E2"/>
          <w:right w:val="single" w:sz="4" w:space="0" w:color="E9E7E2"/>
          <w:insideH w:val="single" w:sz="2" w:space="0" w:color="F1EFEB"/>
          <w:insideV w:val="single" w:sz="2" w:space="0" w:color="F1EFE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1250"/>
        <w:gridCol w:w="1300"/>
        <w:gridCol w:w="780"/>
        <w:gridCol w:w="780"/>
        <w:gridCol w:w="900"/>
        <w:gridCol w:w="2850"/>
      </w:tblGrid>
      <w:tr w:rsidR="00A972B2" w14:paraId="62514AB2" w14:textId="77777777" w:rsidTr="00753B68">
        <w:trPr>
          <w:tblHeader/>
        </w:trPr>
        <w:tc>
          <w:tcPr>
            <w:tcW w:w="1500" w:type="dxa"/>
            <w:shd w:val="clear" w:color="auto" w:fill="F4F2EE"/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473C90F6" w14:textId="77777777" w:rsidR="00A972B2" w:rsidRDefault="00A972B2" w:rsidP="00753B68">
            <w:r>
              <w:rPr>
                <w:b/>
                <w:bCs/>
                <w:sz w:val="16"/>
                <w:szCs w:val="16"/>
              </w:rPr>
              <w:t>Risque</w:t>
            </w:r>
          </w:p>
        </w:tc>
        <w:tc>
          <w:tcPr>
            <w:tcW w:w="1250" w:type="dxa"/>
            <w:shd w:val="clear" w:color="auto" w:fill="F4F2EE"/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79921238" w14:textId="77777777" w:rsidR="00A972B2" w:rsidRDefault="00A972B2" w:rsidP="00753B68">
            <w:r>
              <w:rPr>
                <w:b/>
                <w:bCs/>
                <w:sz w:val="16"/>
                <w:szCs w:val="16"/>
              </w:rPr>
              <w:t>Cause</w:t>
            </w:r>
          </w:p>
        </w:tc>
        <w:tc>
          <w:tcPr>
            <w:tcW w:w="1300" w:type="dxa"/>
            <w:shd w:val="clear" w:color="auto" w:fill="F4F2EE"/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73D1DAE9" w14:textId="77777777" w:rsidR="00A972B2" w:rsidRDefault="00A972B2" w:rsidP="00753B68">
            <w:r>
              <w:rPr>
                <w:b/>
                <w:bCs/>
                <w:sz w:val="16"/>
                <w:szCs w:val="16"/>
              </w:rPr>
              <w:t>Effet potentiel</w:t>
            </w:r>
          </w:p>
        </w:tc>
        <w:tc>
          <w:tcPr>
            <w:tcW w:w="780" w:type="dxa"/>
            <w:shd w:val="clear" w:color="auto" w:fill="F4F2EE"/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54C8247D" w14:textId="77777777" w:rsidR="00A972B2" w:rsidRDefault="00A972B2" w:rsidP="00753B68">
            <w:r>
              <w:rPr>
                <w:b/>
                <w:bCs/>
                <w:sz w:val="16"/>
                <w:szCs w:val="16"/>
              </w:rPr>
              <w:t>Prob.</w:t>
            </w:r>
          </w:p>
        </w:tc>
        <w:tc>
          <w:tcPr>
            <w:tcW w:w="780" w:type="dxa"/>
            <w:shd w:val="clear" w:color="auto" w:fill="F4F2EE"/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1D2CB564" w14:textId="77777777" w:rsidR="00A972B2" w:rsidRDefault="00A972B2" w:rsidP="00753B68">
            <w:r>
              <w:rPr>
                <w:b/>
                <w:bCs/>
                <w:sz w:val="16"/>
                <w:szCs w:val="16"/>
              </w:rPr>
              <w:t>Impact</w:t>
            </w:r>
          </w:p>
        </w:tc>
        <w:tc>
          <w:tcPr>
            <w:tcW w:w="900" w:type="dxa"/>
            <w:shd w:val="clear" w:color="auto" w:fill="F4F2EE"/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573778F8" w14:textId="77777777" w:rsidR="00A972B2" w:rsidRDefault="00A972B2" w:rsidP="00753B68">
            <w:r>
              <w:rPr>
                <w:b/>
                <w:bCs/>
                <w:sz w:val="16"/>
                <w:szCs w:val="16"/>
              </w:rPr>
              <w:t>Criticité</w:t>
            </w:r>
          </w:p>
        </w:tc>
        <w:tc>
          <w:tcPr>
            <w:tcW w:w="2850" w:type="dxa"/>
            <w:shd w:val="clear" w:color="auto" w:fill="F4F2EE"/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0628B26A" w14:textId="77777777" w:rsidR="00A972B2" w:rsidRDefault="00A972B2" w:rsidP="00753B68">
            <w:r>
              <w:rPr>
                <w:b/>
                <w:bCs/>
                <w:sz w:val="16"/>
                <w:szCs w:val="16"/>
              </w:rPr>
              <w:t>Action de maîtrise</w:t>
            </w:r>
          </w:p>
        </w:tc>
      </w:tr>
      <w:tr w:rsidR="00A972B2" w14:paraId="2FA0FF00" w14:textId="77777777" w:rsidTr="00753B68">
        <w:tc>
          <w:tcPr>
            <w:tcW w:w="150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3AB85B9" w14:textId="77777777" w:rsidR="00A972B2" w:rsidRDefault="00A972B2" w:rsidP="00753B68">
            <w:pPr>
              <w:spacing w:line="246" w:lineRule="auto"/>
            </w:pPr>
            <w:r>
              <w:rPr>
                <w:color w:val="5F5C54"/>
                <w:sz w:val="15"/>
                <w:szCs w:val="15"/>
              </w:rPr>
              <w:t>Retard de livraison de l'API prestataire</w:t>
            </w:r>
          </w:p>
        </w:tc>
        <w:tc>
          <w:tcPr>
            <w:tcW w:w="125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635FC19" w14:textId="77777777" w:rsidR="00A972B2" w:rsidRDefault="00A972B2" w:rsidP="00753B68">
            <w:pPr>
              <w:spacing w:line="246" w:lineRule="auto"/>
            </w:pPr>
            <w:r>
              <w:rPr>
                <w:color w:val="5F5C54"/>
                <w:sz w:val="15"/>
                <w:szCs w:val="15"/>
              </w:rPr>
              <w:t>Dépendance externe non contractualisée</w:t>
            </w:r>
          </w:p>
        </w:tc>
        <w:tc>
          <w:tcPr>
            <w:tcW w:w="130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0152885" w14:textId="77777777" w:rsidR="00A972B2" w:rsidRDefault="00A972B2" w:rsidP="00753B68">
            <w:pPr>
              <w:spacing w:line="246" w:lineRule="auto"/>
            </w:pPr>
            <w:r>
              <w:rPr>
                <w:color w:val="5F5C54"/>
                <w:sz w:val="15"/>
                <w:szCs w:val="15"/>
              </w:rPr>
              <w:t>Décalage de la phase Développement</w:t>
            </w:r>
          </w:p>
        </w:tc>
        <w:tc>
          <w:tcPr>
            <w:tcW w:w="78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6C03D32" w14:textId="77777777" w:rsidR="00A972B2" w:rsidRDefault="00A972B2" w:rsidP="00753B68">
            <w:pPr>
              <w:spacing w:line="246" w:lineRule="auto"/>
            </w:pPr>
            <w:r>
              <w:rPr>
                <w:color w:val="5F5C54"/>
                <w:sz w:val="15"/>
                <w:szCs w:val="15"/>
              </w:rPr>
              <w:t>Élevée</w:t>
            </w:r>
          </w:p>
        </w:tc>
        <w:tc>
          <w:tcPr>
            <w:tcW w:w="78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7F8A0EB" w14:textId="77777777" w:rsidR="00A972B2" w:rsidRDefault="00A972B2" w:rsidP="00753B68">
            <w:pPr>
              <w:spacing w:line="246" w:lineRule="auto"/>
            </w:pPr>
            <w:r>
              <w:rPr>
                <w:color w:val="5F5C54"/>
                <w:sz w:val="15"/>
                <w:szCs w:val="15"/>
              </w:rPr>
              <w:t>Fort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8425DF2" w14:textId="77777777" w:rsidR="00A972B2" w:rsidRDefault="00A972B2" w:rsidP="00753B68">
            <w:pPr>
              <w:spacing w:line="246" w:lineRule="auto"/>
            </w:pPr>
            <w:r>
              <w:rPr>
                <w:b/>
                <w:bCs/>
                <w:color w:val="B81466"/>
                <w:sz w:val="15"/>
                <w:szCs w:val="15"/>
              </w:rPr>
              <w:t>Critique</w:t>
            </w:r>
          </w:p>
        </w:tc>
        <w:tc>
          <w:tcPr>
            <w:tcW w:w="285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51AC915" w14:textId="77777777" w:rsidR="00A972B2" w:rsidRDefault="00A972B2" w:rsidP="00753B68">
            <w:pPr>
              <w:spacing w:line="246" w:lineRule="auto"/>
            </w:pPr>
            <w:r>
              <w:rPr>
                <w:color w:val="5F5C54"/>
                <w:sz w:val="15"/>
                <w:szCs w:val="15"/>
              </w:rPr>
              <w:t>Sécuriser un engagement de date ; prévoir un bouchon de test</w:t>
            </w:r>
          </w:p>
        </w:tc>
      </w:tr>
      <w:tr w:rsidR="00A972B2" w14:paraId="562D5719" w14:textId="77777777" w:rsidTr="00753B68">
        <w:tc>
          <w:tcPr>
            <w:tcW w:w="150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E636AB5" w14:textId="77777777" w:rsidR="00A972B2" w:rsidRDefault="00A972B2" w:rsidP="00753B68">
            <w:pPr>
              <w:spacing w:line="246" w:lineRule="auto"/>
            </w:pPr>
            <w:r>
              <w:rPr>
                <w:color w:val="5F5C54"/>
                <w:sz w:val="15"/>
                <w:szCs w:val="15"/>
              </w:rPr>
              <w:t>Indisponibilité des référents métier en recette</w:t>
            </w:r>
          </w:p>
        </w:tc>
        <w:tc>
          <w:tcPr>
            <w:tcW w:w="125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7017513" w14:textId="77777777" w:rsidR="00A972B2" w:rsidRDefault="00A972B2" w:rsidP="00753B68">
            <w:pPr>
              <w:spacing w:line="246" w:lineRule="auto"/>
            </w:pPr>
            <w:r>
              <w:rPr>
                <w:color w:val="5F5C54"/>
                <w:sz w:val="15"/>
                <w:szCs w:val="15"/>
              </w:rPr>
              <w:t>Congés de fin d'année</w:t>
            </w:r>
          </w:p>
        </w:tc>
        <w:tc>
          <w:tcPr>
            <w:tcW w:w="130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DF53324" w14:textId="77777777" w:rsidR="00A972B2" w:rsidRDefault="00A972B2" w:rsidP="00753B68">
            <w:pPr>
              <w:spacing w:line="246" w:lineRule="auto"/>
            </w:pPr>
            <w:r>
              <w:rPr>
                <w:color w:val="5F5C54"/>
                <w:sz w:val="15"/>
                <w:szCs w:val="15"/>
              </w:rPr>
              <w:t>Recette écourtée, anomalies non détectées</w:t>
            </w:r>
          </w:p>
        </w:tc>
        <w:tc>
          <w:tcPr>
            <w:tcW w:w="78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2B7D2BA" w14:textId="77777777" w:rsidR="00A972B2" w:rsidRDefault="00A972B2" w:rsidP="00753B68">
            <w:pPr>
              <w:spacing w:line="246" w:lineRule="auto"/>
            </w:pPr>
            <w:r>
              <w:rPr>
                <w:color w:val="5F5C54"/>
                <w:sz w:val="15"/>
                <w:szCs w:val="15"/>
              </w:rPr>
              <w:t>Moyenne</w:t>
            </w:r>
          </w:p>
        </w:tc>
        <w:tc>
          <w:tcPr>
            <w:tcW w:w="78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11C2415" w14:textId="77777777" w:rsidR="00A972B2" w:rsidRDefault="00A972B2" w:rsidP="00753B68">
            <w:pPr>
              <w:spacing w:line="246" w:lineRule="auto"/>
            </w:pPr>
            <w:r>
              <w:rPr>
                <w:color w:val="5F5C54"/>
                <w:sz w:val="15"/>
                <w:szCs w:val="15"/>
              </w:rPr>
              <w:t>Fort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FA0EC80" w14:textId="77777777" w:rsidR="00A972B2" w:rsidRDefault="00A972B2" w:rsidP="00753B68">
            <w:pPr>
              <w:spacing w:line="246" w:lineRule="auto"/>
            </w:pPr>
            <w:r>
              <w:rPr>
                <w:b/>
                <w:bCs/>
                <w:color w:val="B36A00"/>
                <w:sz w:val="15"/>
                <w:szCs w:val="15"/>
              </w:rPr>
              <w:t>Élevée</w:t>
            </w:r>
          </w:p>
        </w:tc>
        <w:tc>
          <w:tcPr>
            <w:tcW w:w="285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B9DF784" w14:textId="77777777" w:rsidR="00A972B2" w:rsidRDefault="00A972B2" w:rsidP="00753B68">
            <w:pPr>
              <w:spacing w:line="246" w:lineRule="auto"/>
            </w:pPr>
            <w:r>
              <w:rPr>
                <w:color w:val="5F5C54"/>
                <w:sz w:val="15"/>
                <w:szCs w:val="15"/>
              </w:rPr>
              <w:t>Planifier la recette hors congés ; désigner un back-up</w:t>
            </w:r>
          </w:p>
        </w:tc>
      </w:tr>
      <w:tr w:rsidR="00A972B2" w14:paraId="06287FAA" w14:textId="77777777" w:rsidTr="00753B68">
        <w:tc>
          <w:tcPr>
            <w:tcW w:w="150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4733340" w14:textId="77777777" w:rsidR="00A972B2" w:rsidRDefault="00A972B2" w:rsidP="00753B68">
            <w:pPr>
              <w:spacing w:line="246" w:lineRule="auto"/>
            </w:pPr>
            <w:r>
              <w:rPr>
                <w:color w:val="5F5C54"/>
                <w:sz w:val="15"/>
                <w:szCs w:val="15"/>
              </w:rPr>
              <w:t>Périmètre non figé</w:t>
            </w:r>
          </w:p>
        </w:tc>
        <w:tc>
          <w:tcPr>
            <w:tcW w:w="125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281D791" w14:textId="77777777" w:rsidR="00A972B2" w:rsidRDefault="00A972B2" w:rsidP="00753B68">
            <w:pPr>
              <w:spacing w:line="246" w:lineRule="auto"/>
            </w:pPr>
            <w:r>
              <w:rPr>
                <w:color w:val="5F5C54"/>
                <w:sz w:val="15"/>
                <w:szCs w:val="15"/>
              </w:rPr>
              <w:t>Cadrage incomplet</w:t>
            </w:r>
          </w:p>
        </w:tc>
        <w:tc>
          <w:tcPr>
            <w:tcW w:w="130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A37D427" w14:textId="77777777" w:rsidR="00A972B2" w:rsidRDefault="00A972B2" w:rsidP="00753B68">
            <w:pPr>
              <w:spacing w:line="246" w:lineRule="auto"/>
            </w:pPr>
            <w:r>
              <w:rPr>
                <w:color w:val="5F5C54"/>
                <w:sz w:val="15"/>
                <w:szCs w:val="15"/>
              </w:rPr>
              <w:t>Dérive de charge et de délai</w:t>
            </w:r>
          </w:p>
        </w:tc>
        <w:tc>
          <w:tcPr>
            <w:tcW w:w="78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AD2CD62" w14:textId="77777777" w:rsidR="00A972B2" w:rsidRDefault="00A972B2" w:rsidP="00753B68">
            <w:pPr>
              <w:spacing w:line="246" w:lineRule="auto"/>
            </w:pPr>
            <w:r>
              <w:rPr>
                <w:color w:val="5F5C54"/>
                <w:sz w:val="15"/>
                <w:szCs w:val="15"/>
              </w:rPr>
              <w:t>Moyenne</w:t>
            </w:r>
          </w:p>
        </w:tc>
        <w:tc>
          <w:tcPr>
            <w:tcW w:w="78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41E1420" w14:textId="77777777" w:rsidR="00A972B2" w:rsidRDefault="00A972B2" w:rsidP="00753B68">
            <w:pPr>
              <w:spacing w:line="246" w:lineRule="auto"/>
            </w:pPr>
            <w:r>
              <w:rPr>
                <w:color w:val="5F5C54"/>
                <w:sz w:val="15"/>
                <w:szCs w:val="15"/>
              </w:rPr>
              <w:t>Moyen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0F6DC33" w14:textId="77777777" w:rsidR="00A972B2" w:rsidRDefault="00A972B2" w:rsidP="00753B68">
            <w:pPr>
              <w:spacing w:line="246" w:lineRule="auto"/>
            </w:pPr>
            <w:r>
              <w:rPr>
                <w:b/>
                <w:bCs/>
                <w:color w:val="5F5C54"/>
                <w:sz w:val="15"/>
                <w:szCs w:val="15"/>
              </w:rPr>
              <w:t>Moyenne</w:t>
            </w:r>
          </w:p>
        </w:tc>
        <w:tc>
          <w:tcPr>
            <w:tcW w:w="285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96A82CA" w14:textId="77777777" w:rsidR="00A972B2" w:rsidRDefault="00A972B2" w:rsidP="00753B68">
            <w:pPr>
              <w:spacing w:line="246" w:lineRule="auto"/>
            </w:pPr>
            <w:r>
              <w:rPr>
                <w:color w:val="5F5C54"/>
                <w:sz w:val="15"/>
                <w:szCs w:val="15"/>
              </w:rPr>
              <w:t>Geler le périmètre au jalon de validation</w:t>
            </w:r>
          </w:p>
        </w:tc>
      </w:tr>
    </w:tbl>
    <w:p w14:paraId="1E334924" w14:textId="77777777" w:rsidR="002A2658" w:rsidRDefault="002A2658"/>
    <w:sectPr w:rsidR="002A26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ABB"/>
    <w:rsid w:val="002A2658"/>
    <w:rsid w:val="00594DD8"/>
    <w:rsid w:val="00703187"/>
    <w:rsid w:val="00892ABB"/>
    <w:rsid w:val="00A972B2"/>
    <w:rsid w:val="00B6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8365E"/>
  <w15:chartTrackingRefBased/>
  <w15:docId w15:val="{1888C6C9-E503-4DE5-8C11-8A3E3DA99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72B2"/>
    <w:pPr>
      <w:spacing w:after="0" w:line="240" w:lineRule="auto"/>
    </w:pPr>
    <w:rPr>
      <w:rFonts w:ascii="Calibri" w:eastAsia="Calibri" w:hAnsi="Calibri" w:cs="Calibri"/>
      <w:color w:val="37352F"/>
      <w:kern w:val="0"/>
      <w:sz w:val="21"/>
      <w:szCs w:val="21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892AB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92AB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92AB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92AB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92AB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92AB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92AB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92AB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92AB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92A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92A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92A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92AB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92AB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92AB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92AB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92AB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92AB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92ABB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892A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92AB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892A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92AB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892AB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92AB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892AB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92A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92AB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92A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500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Marwan BAKKALI</dc:creator>
  <cp:keywords/>
  <dc:description/>
  <cp:lastModifiedBy>Marwan BAKKALI</cp:lastModifiedBy>
  <cp:revision>2</cp:revision>
  <dcterms:created xsi:type="dcterms:W3CDTF">2026-08-19T12:39:00Z</dcterms:created>
  <dcterms:modified xsi:type="dcterms:W3CDTF">2026-08-19T12:39:00Z</dcterms:modified>
</cp:coreProperties>
</file>