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8E14E" w14:textId="3786D3DC" w:rsidR="00BE16CC" w:rsidRDefault="00BE16CC" w:rsidP="00BE16CC">
      <w:pPr>
        <w:spacing w:after="40"/>
      </w:pPr>
      <w:r>
        <w:rPr>
          <w:b/>
          <w:bCs/>
          <w:color w:val="1F4E79"/>
          <w:sz w:val="44"/>
          <w:szCs w:val="44"/>
        </w:rPr>
        <w:t>RETOUR D'EXPÉRIENCE (REX)</w:t>
      </w:r>
    </w:p>
    <w:p w14:paraId="2FB85629" w14:textId="77777777" w:rsidR="00BE16CC" w:rsidRDefault="00BE16CC" w:rsidP="00BE16CC">
      <w:pPr>
        <w:spacing w:after="40"/>
      </w:pPr>
      <w:r>
        <w:rPr>
          <w:b/>
          <w:bCs/>
          <w:sz w:val="28"/>
          <w:szCs w:val="28"/>
        </w:rPr>
        <w:t>Projet « Mon Espace Locataire »</w:t>
      </w:r>
    </w:p>
    <w:p w14:paraId="4DCE4127" w14:textId="77777777" w:rsidR="00BE16CC" w:rsidRDefault="00BE16CC" w:rsidP="00BE16CC">
      <w:pPr>
        <w:spacing w:after="60"/>
      </w:pPr>
      <w:proofErr w:type="spellStart"/>
      <w:r>
        <w:rPr>
          <w:i/>
          <w:iCs/>
          <w:color w:val="595959"/>
          <w:sz w:val="22"/>
          <w:szCs w:val="22"/>
        </w:rPr>
        <w:t>Néolia</w:t>
      </w:r>
      <w:proofErr w:type="spellEnd"/>
      <w:r>
        <w:rPr>
          <w:i/>
          <w:iCs/>
          <w:color w:val="595959"/>
          <w:sz w:val="22"/>
          <w:szCs w:val="22"/>
        </w:rPr>
        <w:t xml:space="preserve"> Habitat — projet clôturé, bilan à J+60 (novembre 2027)</w:t>
      </w:r>
    </w:p>
    <w:p w14:paraId="7CA66256" w14:textId="77777777" w:rsidR="00BE16CC" w:rsidRDefault="00BE16CC" w:rsidP="00BE16CC">
      <w:pPr>
        <w:pBdr>
          <w:bottom w:val="single" w:sz="12" w:space="1" w:color="1F4E79"/>
        </w:pBdr>
        <w:spacing w:after="200"/>
      </w:pPr>
    </w:p>
    <w:p w14:paraId="16177009" w14:textId="77777777" w:rsidR="00BE16CC" w:rsidRDefault="00BE16CC" w:rsidP="00BE16CC">
      <w:pPr>
        <w:pStyle w:val="Titre1"/>
        <w:spacing w:before="320" w:after="140"/>
      </w:pPr>
      <w:r>
        <w:rPr>
          <w:b/>
          <w:bCs/>
          <w:color w:val="1F4E79"/>
          <w:sz w:val="30"/>
          <w:szCs w:val="30"/>
        </w:rPr>
        <w:t>1. Objectifs visés vs résultats obtenus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650"/>
        <w:gridCol w:w="2400"/>
        <w:gridCol w:w="1910"/>
      </w:tblGrid>
      <w:tr w:rsidR="00BE16CC" w14:paraId="2736074B" w14:textId="77777777" w:rsidTr="00753B68">
        <w:tc>
          <w:tcPr>
            <w:tcW w:w="2400" w:type="dxa"/>
            <w:shd w:val="clear" w:color="auto" w:fill="DEEAF6"/>
            <w:tcMar>
              <w:top w:w="60" w:type="dxa"/>
              <w:left w:w="100" w:type="dxa"/>
              <w:bottom w:w="60" w:type="dxa"/>
              <w:right w:w="100" w:type="dxa"/>
            </w:tcMar>
          </w:tcPr>
          <w:p w14:paraId="1C31C73D" w14:textId="77777777" w:rsidR="00BE16CC" w:rsidRDefault="00BE16CC" w:rsidP="00753B68">
            <w:r>
              <w:rPr>
                <w:b/>
                <w:bCs/>
                <w:color w:val="1F4E79"/>
                <w:sz w:val="20"/>
                <w:szCs w:val="20"/>
              </w:rPr>
              <w:t>Dimension</w:t>
            </w:r>
          </w:p>
        </w:tc>
        <w:tc>
          <w:tcPr>
            <w:tcW w:w="2650" w:type="dxa"/>
            <w:shd w:val="clear" w:color="auto" w:fill="DEEAF6"/>
            <w:tcMar>
              <w:top w:w="60" w:type="dxa"/>
              <w:left w:w="100" w:type="dxa"/>
              <w:bottom w:w="60" w:type="dxa"/>
              <w:right w:w="100" w:type="dxa"/>
            </w:tcMar>
          </w:tcPr>
          <w:p w14:paraId="3CB52AF4" w14:textId="77777777" w:rsidR="00BE16CC" w:rsidRDefault="00BE16CC" w:rsidP="00753B68">
            <w:r>
              <w:rPr>
                <w:b/>
                <w:bCs/>
                <w:color w:val="1F4E79"/>
                <w:sz w:val="20"/>
                <w:szCs w:val="20"/>
              </w:rPr>
              <w:t>Visé</w:t>
            </w:r>
          </w:p>
        </w:tc>
        <w:tc>
          <w:tcPr>
            <w:tcW w:w="2400" w:type="dxa"/>
            <w:shd w:val="clear" w:color="auto" w:fill="DEEAF6"/>
            <w:tcMar>
              <w:top w:w="60" w:type="dxa"/>
              <w:left w:w="100" w:type="dxa"/>
              <w:bottom w:w="60" w:type="dxa"/>
              <w:right w:w="100" w:type="dxa"/>
            </w:tcMar>
          </w:tcPr>
          <w:p w14:paraId="0D3DAA89" w14:textId="77777777" w:rsidR="00BE16CC" w:rsidRDefault="00BE16CC" w:rsidP="00753B68">
            <w:r>
              <w:rPr>
                <w:b/>
                <w:bCs/>
                <w:color w:val="1F4E79"/>
                <w:sz w:val="20"/>
                <w:szCs w:val="20"/>
              </w:rPr>
              <w:t>Réalisé</w:t>
            </w:r>
          </w:p>
        </w:tc>
        <w:tc>
          <w:tcPr>
            <w:tcW w:w="1910" w:type="dxa"/>
            <w:shd w:val="clear" w:color="auto" w:fill="DEEAF6"/>
            <w:tcMar>
              <w:top w:w="60" w:type="dxa"/>
              <w:left w:w="100" w:type="dxa"/>
              <w:bottom w:w="60" w:type="dxa"/>
              <w:right w:w="100" w:type="dxa"/>
            </w:tcMar>
          </w:tcPr>
          <w:p w14:paraId="11C3FFB9" w14:textId="77777777" w:rsidR="00BE16CC" w:rsidRDefault="00BE16CC" w:rsidP="00753B68">
            <w:r>
              <w:rPr>
                <w:b/>
                <w:bCs/>
                <w:color w:val="1F4E79"/>
                <w:sz w:val="20"/>
                <w:szCs w:val="20"/>
              </w:rPr>
              <w:t>Écart</w:t>
            </w:r>
          </w:p>
        </w:tc>
      </w:tr>
      <w:tr w:rsidR="00BE16CC" w14:paraId="4921B87F" w14:textId="77777777" w:rsidTr="00753B68">
        <w:tc>
          <w:tcPr>
            <w:tcW w:w="2400" w:type="dxa"/>
            <w:tcMar>
              <w:top w:w="60" w:type="dxa"/>
              <w:left w:w="100" w:type="dxa"/>
              <w:bottom w:w="60" w:type="dxa"/>
              <w:right w:w="100" w:type="dxa"/>
            </w:tcMar>
          </w:tcPr>
          <w:p w14:paraId="5EC28CBB" w14:textId="77777777" w:rsidR="00BE16CC" w:rsidRDefault="00BE16CC" w:rsidP="00753B68">
            <w:r>
              <w:rPr>
                <w:color w:val="000000"/>
                <w:sz w:val="20"/>
                <w:szCs w:val="20"/>
              </w:rPr>
              <w:t>Mise en service V1</w:t>
            </w:r>
          </w:p>
        </w:tc>
        <w:tc>
          <w:tcPr>
            <w:tcW w:w="2650" w:type="dxa"/>
            <w:tcMar>
              <w:top w:w="60" w:type="dxa"/>
              <w:left w:w="100" w:type="dxa"/>
              <w:bottom w:w="60" w:type="dxa"/>
              <w:right w:w="100" w:type="dxa"/>
            </w:tcMar>
          </w:tcPr>
          <w:p w14:paraId="689DBC85" w14:textId="77777777" w:rsidR="00BE16CC" w:rsidRDefault="00BE16CC" w:rsidP="00753B68">
            <w:r>
              <w:rPr>
                <w:color w:val="000000"/>
                <w:sz w:val="20"/>
                <w:szCs w:val="20"/>
              </w:rPr>
              <w:t>23/06/2027 (« avant l'été »)</w:t>
            </w:r>
          </w:p>
        </w:tc>
        <w:tc>
          <w:tcPr>
            <w:tcW w:w="2400" w:type="dxa"/>
            <w:tcMar>
              <w:top w:w="60" w:type="dxa"/>
              <w:left w:w="100" w:type="dxa"/>
              <w:bottom w:w="60" w:type="dxa"/>
              <w:right w:w="100" w:type="dxa"/>
            </w:tcMar>
          </w:tcPr>
          <w:p w14:paraId="06562B50" w14:textId="77777777" w:rsidR="00BE16CC" w:rsidRDefault="00BE16CC" w:rsidP="00753B68">
            <w:r>
              <w:rPr>
                <w:color w:val="000000"/>
                <w:sz w:val="20"/>
                <w:szCs w:val="20"/>
              </w:rPr>
              <w:t>22/09/2027</w:t>
            </w:r>
          </w:p>
        </w:tc>
        <w:tc>
          <w:tcPr>
            <w:tcW w:w="1910" w:type="dxa"/>
            <w:tcMar>
              <w:top w:w="60" w:type="dxa"/>
              <w:left w:w="100" w:type="dxa"/>
              <w:bottom w:w="60" w:type="dxa"/>
              <w:right w:w="100" w:type="dxa"/>
            </w:tcMar>
          </w:tcPr>
          <w:p w14:paraId="32C84C3E" w14:textId="77777777" w:rsidR="00BE16CC" w:rsidRDefault="00BE16CC" w:rsidP="00753B68">
            <w:r>
              <w:rPr>
                <w:color w:val="000000"/>
                <w:sz w:val="20"/>
                <w:szCs w:val="20"/>
              </w:rPr>
              <w:t>≈ 3 mois de retard, objectif calendaire manqué</w:t>
            </w:r>
          </w:p>
        </w:tc>
      </w:tr>
      <w:tr w:rsidR="00BE16CC" w14:paraId="0523E5EE" w14:textId="77777777" w:rsidTr="00753B68">
        <w:tc>
          <w:tcPr>
            <w:tcW w:w="2400" w:type="dxa"/>
            <w:tcMar>
              <w:top w:w="60" w:type="dxa"/>
              <w:left w:w="100" w:type="dxa"/>
              <w:bottom w:w="60" w:type="dxa"/>
              <w:right w:w="100" w:type="dxa"/>
            </w:tcMar>
          </w:tcPr>
          <w:p w14:paraId="2DAFAF0A" w14:textId="77777777" w:rsidR="00BE16CC" w:rsidRDefault="00BE16CC" w:rsidP="00753B68">
            <w:r>
              <w:rPr>
                <w:color w:val="000000"/>
                <w:sz w:val="20"/>
                <w:szCs w:val="20"/>
              </w:rPr>
              <w:t>Budget</w:t>
            </w:r>
          </w:p>
        </w:tc>
        <w:tc>
          <w:tcPr>
            <w:tcW w:w="2650" w:type="dxa"/>
            <w:tcMar>
              <w:top w:w="60" w:type="dxa"/>
              <w:left w:w="100" w:type="dxa"/>
              <w:bottom w:w="60" w:type="dxa"/>
              <w:right w:w="100" w:type="dxa"/>
            </w:tcMar>
          </w:tcPr>
          <w:p w14:paraId="47DAD060" w14:textId="77777777" w:rsidR="00BE16CC" w:rsidRDefault="00BE16CC" w:rsidP="00753B68">
            <w:r>
              <w:rPr>
                <w:color w:val="000000"/>
                <w:sz w:val="20"/>
                <w:szCs w:val="20"/>
              </w:rPr>
              <w:t>480 000 € HT</w:t>
            </w:r>
          </w:p>
        </w:tc>
        <w:tc>
          <w:tcPr>
            <w:tcW w:w="2400" w:type="dxa"/>
            <w:tcMar>
              <w:top w:w="60" w:type="dxa"/>
              <w:left w:w="100" w:type="dxa"/>
              <w:bottom w:w="60" w:type="dxa"/>
              <w:right w:w="100" w:type="dxa"/>
            </w:tcMar>
          </w:tcPr>
          <w:p w14:paraId="3078C021" w14:textId="77777777" w:rsidR="00BE16CC" w:rsidRDefault="00BE16CC" w:rsidP="00753B68">
            <w:r>
              <w:rPr>
                <w:color w:val="000000"/>
                <w:sz w:val="20"/>
                <w:szCs w:val="20"/>
              </w:rPr>
              <w:t>≈ 512 000 € HT</w:t>
            </w:r>
          </w:p>
        </w:tc>
        <w:tc>
          <w:tcPr>
            <w:tcW w:w="1910" w:type="dxa"/>
            <w:tcMar>
              <w:top w:w="60" w:type="dxa"/>
              <w:left w:w="100" w:type="dxa"/>
              <w:bottom w:w="60" w:type="dxa"/>
              <w:right w:w="100" w:type="dxa"/>
            </w:tcMar>
          </w:tcPr>
          <w:p w14:paraId="236F6FE2" w14:textId="77777777" w:rsidR="00BE16CC" w:rsidRDefault="00BE16CC" w:rsidP="00753B68">
            <w:r>
              <w:rPr>
                <w:color w:val="000000"/>
                <w:sz w:val="20"/>
                <w:szCs w:val="20"/>
              </w:rPr>
              <w:t>+6,7 % (+32 000 €)</w:t>
            </w:r>
          </w:p>
        </w:tc>
      </w:tr>
      <w:tr w:rsidR="00BE16CC" w14:paraId="033BF657" w14:textId="77777777" w:rsidTr="00753B68">
        <w:tc>
          <w:tcPr>
            <w:tcW w:w="2400" w:type="dxa"/>
            <w:tcMar>
              <w:top w:w="60" w:type="dxa"/>
              <w:left w:w="100" w:type="dxa"/>
              <w:bottom w:w="60" w:type="dxa"/>
              <w:right w:w="100" w:type="dxa"/>
            </w:tcMar>
          </w:tcPr>
          <w:p w14:paraId="4D38911C" w14:textId="77777777" w:rsidR="00BE16CC" w:rsidRDefault="00BE16CC" w:rsidP="00753B68">
            <w:r>
              <w:rPr>
                <w:color w:val="000000"/>
                <w:sz w:val="20"/>
                <w:szCs w:val="20"/>
              </w:rPr>
              <w:t>Financement</w:t>
            </w:r>
          </w:p>
        </w:tc>
        <w:tc>
          <w:tcPr>
            <w:tcW w:w="2650" w:type="dxa"/>
            <w:tcMar>
              <w:top w:w="60" w:type="dxa"/>
              <w:left w:w="100" w:type="dxa"/>
              <w:bottom w:w="60" w:type="dxa"/>
              <w:right w:w="100" w:type="dxa"/>
            </w:tcMar>
          </w:tcPr>
          <w:p w14:paraId="0E23BB1D" w14:textId="77777777" w:rsidR="00BE16CC" w:rsidRDefault="00BE16CC" w:rsidP="00753B68">
            <w:r>
              <w:rPr>
                <w:color w:val="000000"/>
                <w:sz w:val="20"/>
                <w:szCs w:val="20"/>
              </w:rPr>
              <w:t>Subvention Action Logement 30 000 €</w:t>
            </w:r>
          </w:p>
        </w:tc>
        <w:tc>
          <w:tcPr>
            <w:tcW w:w="2400" w:type="dxa"/>
            <w:tcMar>
              <w:top w:w="60" w:type="dxa"/>
              <w:left w:w="100" w:type="dxa"/>
              <w:bottom w:w="60" w:type="dxa"/>
              <w:right w:w="100" w:type="dxa"/>
            </w:tcMar>
          </w:tcPr>
          <w:p w14:paraId="0BCDF625" w14:textId="77777777" w:rsidR="00BE16CC" w:rsidRDefault="00BE16CC" w:rsidP="00753B68">
            <w:r>
              <w:rPr>
                <w:color w:val="000000"/>
                <w:sz w:val="20"/>
                <w:szCs w:val="20"/>
              </w:rPr>
              <w:t>Refusée → autofinancement</w:t>
            </w:r>
          </w:p>
        </w:tc>
        <w:tc>
          <w:tcPr>
            <w:tcW w:w="1910" w:type="dxa"/>
            <w:tcMar>
              <w:top w:w="60" w:type="dxa"/>
              <w:left w:w="100" w:type="dxa"/>
              <w:bottom w:w="60" w:type="dxa"/>
              <w:right w:w="100" w:type="dxa"/>
            </w:tcMar>
          </w:tcPr>
          <w:p w14:paraId="77689C2A" w14:textId="77777777" w:rsidR="00BE16CC" w:rsidRDefault="00BE16CC" w:rsidP="00753B68">
            <w:r>
              <w:rPr>
                <w:color w:val="000000"/>
                <w:sz w:val="20"/>
                <w:szCs w:val="20"/>
              </w:rPr>
              <w:t xml:space="preserve">Manque à gagner </w:t>
            </w:r>
            <w:proofErr w:type="gramStart"/>
            <w:r>
              <w:rPr>
                <w:color w:val="000000"/>
                <w:sz w:val="20"/>
                <w:szCs w:val="20"/>
              </w:rPr>
              <w:t>absorbé</w:t>
            </w:r>
            <w:proofErr w:type="gramEnd"/>
          </w:p>
        </w:tc>
      </w:tr>
      <w:tr w:rsidR="00BE16CC" w14:paraId="0E41C616" w14:textId="77777777" w:rsidTr="00753B68">
        <w:tc>
          <w:tcPr>
            <w:tcW w:w="2400" w:type="dxa"/>
            <w:tcMar>
              <w:top w:w="60" w:type="dxa"/>
              <w:left w:w="100" w:type="dxa"/>
              <w:bottom w:w="60" w:type="dxa"/>
              <w:right w:w="100" w:type="dxa"/>
            </w:tcMar>
          </w:tcPr>
          <w:p w14:paraId="2E661D7B" w14:textId="77777777" w:rsidR="00BE16CC" w:rsidRDefault="00BE16CC" w:rsidP="00753B68">
            <w:r>
              <w:rPr>
                <w:color w:val="000000"/>
                <w:sz w:val="20"/>
                <w:szCs w:val="20"/>
              </w:rPr>
              <w:t>Périmètre V1</w:t>
            </w:r>
          </w:p>
        </w:tc>
        <w:tc>
          <w:tcPr>
            <w:tcW w:w="2650" w:type="dxa"/>
            <w:tcMar>
              <w:top w:w="60" w:type="dxa"/>
              <w:left w:w="100" w:type="dxa"/>
              <w:bottom w:w="60" w:type="dxa"/>
              <w:right w:w="100" w:type="dxa"/>
            </w:tcMar>
          </w:tcPr>
          <w:p w14:paraId="1E85C22B" w14:textId="77777777" w:rsidR="00BE16CC" w:rsidRDefault="00BE16CC" w:rsidP="00753B68">
            <w:r>
              <w:rPr>
                <w:color w:val="000000"/>
                <w:sz w:val="20"/>
                <w:szCs w:val="20"/>
              </w:rPr>
              <w:t>Fonctions socle</w:t>
            </w:r>
          </w:p>
        </w:tc>
        <w:tc>
          <w:tcPr>
            <w:tcW w:w="2400" w:type="dxa"/>
            <w:tcMar>
              <w:top w:w="60" w:type="dxa"/>
              <w:left w:w="100" w:type="dxa"/>
              <w:bottom w:w="60" w:type="dxa"/>
              <w:right w:w="100" w:type="dxa"/>
            </w:tcMar>
          </w:tcPr>
          <w:p w14:paraId="0C76A4DF" w14:textId="77777777" w:rsidR="00BE16CC" w:rsidRDefault="00BE16CC" w:rsidP="00753B68">
            <w:r>
              <w:rPr>
                <w:color w:val="000000"/>
                <w:sz w:val="20"/>
                <w:szCs w:val="20"/>
              </w:rPr>
              <w:t>Globalement tenu</w:t>
            </w:r>
          </w:p>
        </w:tc>
        <w:tc>
          <w:tcPr>
            <w:tcW w:w="1910" w:type="dxa"/>
            <w:tcMar>
              <w:top w:w="60" w:type="dxa"/>
              <w:left w:w="100" w:type="dxa"/>
              <w:bottom w:w="60" w:type="dxa"/>
              <w:right w:w="100" w:type="dxa"/>
            </w:tcMar>
          </w:tcPr>
          <w:p w14:paraId="3E9FA9CC" w14:textId="77777777" w:rsidR="00BE16CC" w:rsidRDefault="00BE16CC" w:rsidP="00753B68">
            <w:r>
              <w:rPr>
                <w:color w:val="000000"/>
                <w:sz w:val="20"/>
                <w:szCs w:val="20"/>
              </w:rPr>
              <w:t xml:space="preserve">Suivi en </w:t>
            </w:r>
            <w:proofErr w:type="gramStart"/>
            <w:r>
              <w:rPr>
                <w:color w:val="000000"/>
                <w:sz w:val="20"/>
                <w:szCs w:val="20"/>
              </w:rPr>
              <w:t>quasi temps</w:t>
            </w:r>
            <w:proofErr w:type="gramEnd"/>
            <w:r>
              <w:rPr>
                <w:color w:val="000000"/>
                <w:sz w:val="20"/>
                <w:szCs w:val="20"/>
              </w:rPr>
              <w:t xml:space="preserve"> réel (15 min) ; tableau de bord agent </w:t>
            </w:r>
            <w:proofErr w:type="spellStart"/>
            <w:r>
              <w:rPr>
                <w:color w:val="000000"/>
                <w:sz w:val="20"/>
                <w:szCs w:val="20"/>
              </w:rPr>
              <w:t>descopé</w:t>
            </w:r>
            <w:proofErr w:type="spellEnd"/>
          </w:p>
        </w:tc>
      </w:tr>
      <w:tr w:rsidR="00BE16CC" w14:paraId="1BFAF48A" w14:textId="77777777" w:rsidTr="00753B68">
        <w:tc>
          <w:tcPr>
            <w:tcW w:w="2400" w:type="dxa"/>
            <w:tcMar>
              <w:top w:w="60" w:type="dxa"/>
              <w:left w:w="100" w:type="dxa"/>
              <w:bottom w:w="60" w:type="dxa"/>
              <w:right w:w="100" w:type="dxa"/>
            </w:tcMar>
          </w:tcPr>
          <w:p w14:paraId="0C58FEB4" w14:textId="77777777" w:rsidR="00BE16CC" w:rsidRDefault="00BE16CC" w:rsidP="00753B68">
            <w:r>
              <w:rPr>
                <w:color w:val="000000"/>
                <w:sz w:val="20"/>
                <w:szCs w:val="20"/>
              </w:rPr>
              <w:t>Adoption</w:t>
            </w:r>
          </w:p>
        </w:tc>
        <w:tc>
          <w:tcPr>
            <w:tcW w:w="2650" w:type="dxa"/>
            <w:tcMar>
              <w:top w:w="60" w:type="dxa"/>
              <w:left w:w="100" w:type="dxa"/>
              <w:bottom w:w="60" w:type="dxa"/>
              <w:right w:w="100" w:type="dxa"/>
            </w:tcMar>
          </w:tcPr>
          <w:p w14:paraId="4D300885" w14:textId="77777777" w:rsidR="00BE16CC" w:rsidRDefault="00BE16CC" w:rsidP="00753B68">
            <w:r>
              <w:rPr>
                <w:color w:val="000000"/>
                <w:sz w:val="20"/>
                <w:szCs w:val="20"/>
              </w:rPr>
              <w:t>40 % actifs à 12 mois</w:t>
            </w:r>
          </w:p>
        </w:tc>
        <w:tc>
          <w:tcPr>
            <w:tcW w:w="2400" w:type="dxa"/>
            <w:tcMar>
              <w:top w:w="60" w:type="dxa"/>
              <w:left w:w="100" w:type="dxa"/>
              <w:bottom w:w="60" w:type="dxa"/>
              <w:right w:w="100" w:type="dxa"/>
            </w:tcMar>
          </w:tcPr>
          <w:p w14:paraId="46C3BAF2" w14:textId="77777777" w:rsidR="00BE16CC" w:rsidRDefault="00BE16CC" w:rsidP="00753B68">
            <w:r>
              <w:rPr>
                <w:color w:val="000000"/>
                <w:sz w:val="20"/>
                <w:szCs w:val="20"/>
              </w:rPr>
              <w:t>31 % à J+60</w:t>
            </w:r>
          </w:p>
        </w:tc>
        <w:tc>
          <w:tcPr>
            <w:tcW w:w="1910" w:type="dxa"/>
            <w:tcMar>
              <w:top w:w="60" w:type="dxa"/>
              <w:left w:w="100" w:type="dxa"/>
              <w:bottom w:w="60" w:type="dxa"/>
              <w:right w:w="100" w:type="dxa"/>
            </w:tcMar>
          </w:tcPr>
          <w:p w14:paraId="5DE7AD94" w14:textId="77777777" w:rsidR="00BE16CC" w:rsidRDefault="00BE16CC" w:rsidP="00753B68">
            <w:r>
              <w:rPr>
                <w:color w:val="000000"/>
                <w:sz w:val="20"/>
                <w:szCs w:val="20"/>
              </w:rPr>
              <w:t>Trajectoire correcte</w:t>
            </w:r>
          </w:p>
        </w:tc>
      </w:tr>
      <w:tr w:rsidR="00BE16CC" w14:paraId="402B3D9D" w14:textId="77777777" w:rsidTr="00753B68">
        <w:tc>
          <w:tcPr>
            <w:tcW w:w="2400" w:type="dxa"/>
            <w:tcMar>
              <w:top w:w="60" w:type="dxa"/>
              <w:left w:w="100" w:type="dxa"/>
              <w:bottom w:w="60" w:type="dxa"/>
              <w:right w:w="100" w:type="dxa"/>
            </w:tcMar>
          </w:tcPr>
          <w:p w14:paraId="05840995" w14:textId="77777777" w:rsidR="00BE16CC" w:rsidRDefault="00BE16CC" w:rsidP="00753B68">
            <w:r>
              <w:rPr>
                <w:color w:val="000000"/>
                <w:sz w:val="20"/>
                <w:szCs w:val="20"/>
              </w:rPr>
              <w:t>Appels niveau 1</w:t>
            </w:r>
          </w:p>
        </w:tc>
        <w:tc>
          <w:tcPr>
            <w:tcW w:w="2650" w:type="dxa"/>
            <w:tcMar>
              <w:top w:w="60" w:type="dxa"/>
              <w:left w:w="100" w:type="dxa"/>
              <w:bottom w:w="60" w:type="dxa"/>
              <w:right w:w="100" w:type="dxa"/>
            </w:tcMar>
          </w:tcPr>
          <w:p w14:paraId="35705C7E" w14:textId="77777777" w:rsidR="00BE16CC" w:rsidRDefault="00BE16CC" w:rsidP="00753B68">
            <w:r>
              <w:rPr>
                <w:color w:val="000000"/>
                <w:sz w:val="20"/>
                <w:szCs w:val="20"/>
              </w:rPr>
              <w:t>−25 % à 12 mois</w:t>
            </w:r>
          </w:p>
        </w:tc>
        <w:tc>
          <w:tcPr>
            <w:tcW w:w="2400" w:type="dxa"/>
            <w:tcMar>
              <w:top w:w="60" w:type="dxa"/>
              <w:left w:w="100" w:type="dxa"/>
              <w:bottom w:w="60" w:type="dxa"/>
              <w:right w:w="100" w:type="dxa"/>
            </w:tcMar>
          </w:tcPr>
          <w:p w14:paraId="32990C91" w14:textId="77777777" w:rsidR="00BE16CC" w:rsidRDefault="00BE16CC" w:rsidP="00753B68">
            <w:r>
              <w:rPr>
                <w:color w:val="000000"/>
                <w:sz w:val="20"/>
                <w:szCs w:val="20"/>
              </w:rPr>
              <w:t>−18 % à J+60</w:t>
            </w:r>
          </w:p>
        </w:tc>
        <w:tc>
          <w:tcPr>
            <w:tcW w:w="1910" w:type="dxa"/>
            <w:tcMar>
              <w:top w:w="60" w:type="dxa"/>
              <w:left w:w="100" w:type="dxa"/>
              <w:bottom w:w="60" w:type="dxa"/>
              <w:right w:w="100" w:type="dxa"/>
            </w:tcMar>
          </w:tcPr>
          <w:p w14:paraId="3483D265" w14:textId="77777777" w:rsidR="00BE16CC" w:rsidRDefault="00BE16CC" w:rsidP="00753B68">
            <w:r>
              <w:rPr>
                <w:color w:val="000000"/>
                <w:sz w:val="20"/>
                <w:szCs w:val="20"/>
              </w:rPr>
              <w:t>Trajectoire correcte</w:t>
            </w:r>
          </w:p>
        </w:tc>
      </w:tr>
      <w:tr w:rsidR="00BE16CC" w14:paraId="5E1F070B" w14:textId="77777777" w:rsidTr="00753B68">
        <w:tc>
          <w:tcPr>
            <w:tcW w:w="2400" w:type="dxa"/>
            <w:tcMar>
              <w:top w:w="60" w:type="dxa"/>
              <w:left w:w="100" w:type="dxa"/>
              <w:bottom w:w="60" w:type="dxa"/>
              <w:right w:w="100" w:type="dxa"/>
            </w:tcMar>
          </w:tcPr>
          <w:p w14:paraId="55E79078" w14:textId="77777777" w:rsidR="00BE16CC" w:rsidRDefault="00BE16CC" w:rsidP="00753B68">
            <w:r>
              <w:rPr>
                <w:color w:val="000000"/>
                <w:sz w:val="20"/>
                <w:szCs w:val="20"/>
              </w:rPr>
              <w:t>Satisfaction</w:t>
            </w:r>
          </w:p>
        </w:tc>
        <w:tc>
          <w:tcPr>
            <w:tcW w:w="2650" w:type="dxa"/>
            <w:tcMar>
              <w:top w:w="60" w:type="dxa"/>
              <w:left w:w="100" w:type="dxa"/>
              <w:bottom w:w="60" w:type="dxa"/>
              <w:right w:w="100" w:type="dxa"/>
            </w:tcMar>
          </w:tcPr>
          <w:p w14:paraId="2F9E1CAB" w14:textId="77777777" w:rsidR="00BE16CC" w:rsidRDefault="00BE16CC" w:rsidP="00753B68">
            <w:r>
              <w:rPr>
                <w:color w:val="000000"/>
                <w:sz w:val="20"/>
                <w:szCs w:val="20"/>
              </w:rPr>
              <w:t>—</w:t>
            </w:r>
          </w:p>
        </w:tc>
        <w:tc>
          <w:tcPr>
            <w:tcW w:w="2400" w:type="dxa"/>
            <w:tcMar>
              <w:top w:w="60" w:type="dxa"/>
              <w:left w:w="100" w:type="dxa"/>
              <w:bottom w:w="60" w:type="dxa"/>
              <w:right w:w="100" w:type="dxa"/>
            </w:tcMar>
          </w:tcPr>
          <w:p w14:paraId="5FBE9420" w14:textId="77777777" w:rsidR="00BE16CC" w:rsidRDefault="00BE16CC" w:rsidP="00753B68">
            <w:r>
              <w:rPr>
                <w:color w:val="000000"/>
                <w:sz w:val="20"/>
                <w:szCs w:val="20"/>
              </w:rPr>
              <w:t>4,1 / 5</w:t>
            </w:r>
          </w:p>
        </w:tc>
        <w:tc>
          <w:tcPr>
            <w:tcW w:w="1910" w:type="dxa"/>
            <w:tcMar>
              <w:top w:w="60" w:type="dxa"/>
              <w:left w:w="100" w:type="dxa"/>
              <w:bottom w:w="60" w:type="dxa"/>
              <w:right w:w="100" w:type="dxa"/>
            </w:tcMar>
          </w:tcPr>
          <w:p w14:paraId="2D457ED2" w14:textId="77777777" w:rsidR="00BE16CC" w:rsidRDefault="00BE16CC" w:rsidP="00753B68">
            <w:r>
              <w:rPr>
                <w:color w:val="000000"/>
                <w:sz w:val="20"/>
                <w:szCs w:val="20"/>
              </w:rPr>
              <w:t>Positif</w:t>
            </w:r>
          </w:p>
        </w:tc>
      </w:tr>
    </w:tbl>
    <w:p w14:paraId="675E1925" w14:textId="77777777" w:rsidR="00BE16CC" w:rsidRDefault="00BE16CC" w:rsidP="00BE16CC">
      <w:pPr>
        <w:spacing w:before="140" w:after="120"/>
      </w:pPr>
      <w:r>
        <w:rPr>
          <w:b/>
          <w:bCs/>
          <w:sz w:val="22"/>
          <w:szCs w:val="22"/>
        </w:rPr>
        <w:t xml:space="preserve">Lecture d'ensemble : </w:t>
      </w:r>
      <w:r>
        <w:rPr>
          <w:sz w:val="22"/>
          <w:szCs w:val="22"/>
        </w:rPr>
        <w:t>un projet livré, conforme en périmètre et bien accueilli, mais qui a manqué sa cible calendaire structurante et légèrement dépassé son budget. Les objectifs d'usage (adoption, réduction des appels) sont sur une trajectoire cohérente à 12 mois, sans être encore atteints à J+60 — ce qui est normal à ce stade.</w:t>
      </w:r>
    </w:p>
    <w:p w14:paraId="1FF78CB7" w14:textId="77777777" w:rsidR="00BE16CC" w:rsidRDefault="00BE16CC" w:rsidP="00BE16CC">
      <w:pPr>
        <w:pStyle w:val="Titre1"/>
        <w:spacing w:before="320" w:after="140"/>
      </w:pPr>
      <w:r>
        <w:rPr>
          <w:b/>
          <w:bCs/>
          <w:color w:val="1F4E79"/>
          <w:sz w:val="30"/>
          <w:szCs w:val="30"/>
        </w:rPr>
        <w:t>2. Ce qui a bien fonctionné (à reproduire)</w:t>
      </w:r>
    </w:p>
    <w:p w14:paraId="76DE0E03" w14:textId="77777777" w:rsidR="00BE16CC" w:rsidRDefault="00BE16CC" w:rsidP="00BE16CC">
      <w:pPr>
        <w:pStyle w:val="Paragraphedeliste"/>
        <w:numPr>
          <w:ilvl w:val="0"/>
          <w:numId w:val="1"/>
        </w:numPr>
        <w:spacing w:after="80"/>
        <w:contextualSpacing w:val="0"/>
      </w:pPr>
      <w:r>
        <w:rPr>
          <w:b/>
          <w:bCs/>
          <w:sz w:val="22"/>
          <w:szCs w:val="22"/>
        </w:rPr>
        <w:t>Le choix de décaler plutôt que dégrader le périmètre</w:t>
      </w:r>
      <w:r>
        <w:rPr>
          <w:sz w:val="22"/>
          <w:szCs w:val="22"/>
        </w:rPr>
        <w:t xml:space="preserve"> (COPIL du 20/03/2027). Face à la pression calendaire, l'équipe a préservé la qualité et la complétude de la V1. Décision perçue comme bonne a posteriori — elle a protégé la valeur du produit et sa crédibilité auprès des locataires.</w:t>
      </w:r>
    </w:p>
    <w:p w14:paraId="3FCC7882" w14:textId="77777777" w:rsidR="00BE16CC" w:rsidRDefault="00BE16CC" w:rsidP="00BE16CC">
      <w:pPr>
        <w:pStyle w:val="Paragraphedeliste"/>
        <w:numPr>
          <w:ilvl w:val="1"/>
          <w:numId w:val="1"/>
        </w:numPr>
        <w:spacing w:after="80"/>
        <w:contextualSpacing w:val="0"/>
      </w:pPr>
      <w:r>
        <w:rPr>
          <w:i/>
          <w:iCs/>
          <w:color w:val="595959"/>
          <w:sz w:val="22"/>
          <w:szCs w:val="22"/>
        </w:rPr>
        <w:t>Pourquoi ça marche : l'arbitrage a été posé explicitement en instance, tracé, et assumé.</w:t>
      </w:r>
    </w:p>
    <w:p w14:paraId="2237F0F7" w14:textId="77777777" w:rsidR="00BE16CC" w:rsidRDefault="00BE16CC" w:rsidP="00BE16CC">
      <w:pPr>
        <w:pStyle w:val="Paragraphedeliste"/>
        <w:numPr>
          <w:ilvl w:val="0"/>
          <w:numId w:val="1"/>
        </w:numPr>
        <w:spacing w:after="80"/>
        <w:contextualSpacing w:val="0"/>
      </w:pPr>
      <w:r>
        <w:rPr>
          <w:b/>
          <w:bCs/>
          <w:sz w:val="22"/>
          <w:szCs w:val="22"/>
        </w:rPr>
        <w:t>Le portage par la DG et le CA</w:t>
      </w:r>
      <w:r>
        <w:rPr>
          <w:sz w:val="22"/>
          <w:szCs w:val="22"/>
        </w:rPr>
        <w:t xml:space="preserve">, visible dès le </w:t>
      </w:r>
      <w:proofErr w:type="spellStart"/>
      <w:r>
        <w:rPr>
          <w:sz w:val="22"/>
          <w:szCs w:val="22"/>
        </w:rPr>
        <w:t>kickoff</w:t>
      </w:r>
      <w:proofErr w:type="spellEnd"/>
      <w:r>
        <w:rPr>
          <w:sz w:val="22"/>
          <w:szCs w:val="22"/>
        </w:rPr>
        <w:t xml:space="preserve">. Un </w:t>
      </w:r>
      <w:proofErr w:type="spellStart"/>
      <w:r>
        <w:rPr>
          <w:sz w:val="22"/>
          <w:szCs w:val="22"/>
        </w:rPr>
        <w:t>sponsorship</w:t>
      </w:r>
      <w:proofErr w:type="spellEnd"/>
      <w:r>
        <w:rPr>
          <w:sz w:val="22"/>
          <w:szCs w:val="22"/>
        </w:rPr>
        <w:t xml:space="preserve"> fort a permis de faire passer un dépassement en commission et de tenir malgré les difficultés.</w:t>
      </w:r>
    </w:p>
    <w:p w14:paraId="5723F01F" w14:textId="77777777" w:rsidR="00BE16CC" w:rsidRDefault="00BE16CC" w:rsidP="00BE16CC">
      <w:pPr>
        <w:pStyle w:val="Paragraphedeliste"/>
        <w:numPr>
          <w:ilvl w:val="0"/>
          <w:numId w:val="1"/>
        </w:numPr>
        <w:spacing w:after="80"/>
        <w:contextualSpacing w:val="0"/>
      </w:pPr>
      <w:r>
        <w:rPr>
          <w:b/>
          <w:bCs/>
          <w:sz w:val="22"/>
          <w:szCs w:val="22"/>
        </w:rPr>
        <w:t>La validation itérative des maquettes avec des agents testeurs</w:t>
      </w:r>
      <w:r>
        <w:rPr>
          <w:sz w:val="22"/>
          <w:szCs w:val="22"/>
        </w:rPr>
        <w:t xml:space="preserve"> (bons retours dès décembre 2026), qui a limité les mauvaises surprises fonctionnelles.</w:t>
      </w:r>
    </w:p>
    <w:p w14:paraId="18BFBE8A" w14:textId="77777777" w:rsidR="00BE16CC" w:rsidRDefault="00BE16CC" w:rsidP="00BE16CC">
      <w:pPr>
        <w:pStyle w:val="Paragraphedeliste"/>
        <w:numPr>
          <w:ilvl w:val="0"/>
          <w:numId w:val="1"/>
        </w:numPr>
        <w:spacing w:after="80"/>
        <w:contextualSpacing w:val="0"/>
      </w:pPr>
      <w:r>
        <w:rPr>
          <w:b/>
          <w:bCs/>
          <w:sz w:val="22"/>
          <w:szCs w:val="22"/>
        </w:rPr>
        <w:t>La phase bêta réelle</w:t>
      </w:r>
      <w:r>
        <w:rPr>
          <w:sz w:val="22"/>
          <w:szCs w:val="22"/>
        </w:rPr>
        <w:t xml:space="preserve"> (3 agences + 40 locataires, août-sept. 2027) avant bascule générale, qui a sécurisé une mise en service sans incident majeur.</w:t>
      </w:r>
    </w:p>
    <w:p w14:paraId="0EFD6F7B" w14:textId="77777777" w:rsidR="00BE16CC" w:rsidRDefault="00BE16CC" w:rsidP="00BE16CC">
      <w:pPr>
        <w:pStyle w:val="Titre1"/>
        <w:spacing w:before="320" w:after="140"/>
      </w:pPr>
      <w:r>
        <w:rPr>
          <w:b/>
          <w:bCs/>
          <w:color w:val="1F4E79"/>
          <w:sz w:val="30"/>
          <w:szCs w:val="30"/>
        </w:rPr>
        <w:t>3. Difficultés rencontrées et causes profondes</w:t>
      </w:r>
    </w:p>
    <w:p w14:paraId="2BAA6FC4" w14:textId="77777777" w:rsidR="00BE16CC" w:rsidRDefault="00BE16CC" w:rsidP="00BE16CC">
      <w:pPr>
        <w:spacing w:after="120"/>
      </w:pPr>
      <w:r>
        <w:rPr>
          <w:sz w:val="22"/>
          <w:szCs w:val="22"/>
        </w:rPr>
        <w:t>Au-delà des symptômes visibles, quatre causes racines expliquent l'essentiel des écarts.</w:t>
      </w:r>
    </w:p>
    <w:p w14:paraId="448E80E1" w14:textId="77777777" w:rsidR="00BE16CC" w:rsidRDefault="00BE16CC" w:rsidP="00BE16CC">
      <w:pPr>
        <w:spacing w:before="160" w:after="80"/>
      </w:pPr>
      <w:r>
        <w:rPr>
          <w:b/>
          <w:bCs/>
          <w:color w:val="000000"/>
          <w:sz w:val="24"/>
          <w:szCs w:val="24"/>
        </w:rPr>
        <w:t>a) Le retard (cause n°1 de tous les glissements)</w:t>
      </w:r>
    </w:p>
    <w:p w14:paraId="29F306F0" w14:textId="77777777" w:rsidR="00BE16CC" w:rsidRDefault="00BE16CC" w:rsidP="00BE16CC">
      <w:pPr>
        <w:spacing w:after="60"/>
      </w:pPr>
      <w:r>
        <w:rPr>
          <w:b/>
          <w:bCs/>
          <w:sz w:val="22"/>
          <w:szCs w:val="22"/>
        </w:rPr>
        <w:lastRenderedPageBreak/>
        <w:t xml:space="preserve">Symptôme : </w:t>
      </w:r>
      <w:r>
        <w:rPr>
          <w:sz w:val="22"/>
          <w:szCs w:val="22"/>
        </w:rPr>
        <w:t>API ULIS livrées le 12/05 au lieu de mars, +8 semaines, qui ont propagé le retard sur développements, recette et mise en service.</w:t>
      </w:r>
    </w:p>
    <w:p w14:paraId="6B5DFECD" w14:textId="77777777" w:rsidR="00BE16CC" w:rsidRDefault="00BE16CC" w:rsidP="00BE16CC">
      <w:pPr>
        <w:spacing w:after="120"/>
      </w:pPr>
      <w:r>
        <w:rPr>
          <w:b/>
          <w:bCs/>
          <w:sz w:val="22"/>
          <w:szCs w:val="22"/>
        </w:rPr>
        <w:t xml:space="preserve">Cause profonde : </w:t>
      </w:r>
      <w:r>
        <w:rPr>
          <w:sz w:val="22"/>
          <w:szCs w:val="22"/>
        </w:rPr>
        <w:t>la dépendance externe critique n'était pas contractualisée sur une date ferme (pas d'engagement opposable, pas de pénalité, pas de jalon contractuel). Le risque était pourtant identifié dès le cadrage mais n'a pas été transformé en garantie contractuelle.</w:t>
      </w:r>
    </w:p>
    <w:p w14:paraId="1004E19B" w14:textId="77777777" w:rsidR="00BE16CC" w:rsidRDefault="00BE16CC" w:rsidP="00BE16CC">
      <w:pPr>
        <w:spacing w:before="160" w:after="80"/>
      </w:pPr>
      <w:r>
        <w:rPr>
          <w:b/>
          <w:bCs/>
          <w:color w:val="000000"/>
          <w:sz w:val="24"/>
          <w:szCs w:val="24"/>
        </w:rPr>
        <w:t>b) La non-conformité RGAA au premier audit (68 %)</w:t>
      </w:r>
    </w:p>
    <w:p w14:paraId="264FB6C6" w14:textId="77777777" w:rsidR="00BE16CC" w:rsidRDefault="00BE16CC" w:rsidP="00BE16CC">
      <w:pPr>
        <w:spacing w:after="60"/>
      </w:pPr>
      <w:r>
        <w:rPr>
          <w:b/>
          <w:bCs/>
          <w:sz w:val="22"/>
          <w:szCs w:val="22"/>
        </w:rPr>
        <w:t xml:space="preserve">Symptôme : </w:t>
      </w:r>
      <w:r>
        <w:rPr>
          <w:sz w:val="22"/>
          <w:szCs w:val="22"/>
        </w:rPr>
        <w:t>audit du 09/07 non conforme → remédiation (+9 000 €) → contre-audit tardif (15/09).</w:t>
      </w:r>
    </w:p>
    <w:p w14:paraId="5B239DFF" w14:textId="77777777" w:rsidR="00BE16CC" w:rsidRDefault="00BE16CC" w:rsidP="00BE16CC">
      <w:pPr>
        <w:spacing w:after="120"/>
      </w:pPr>
      <w:r>
        <w:rPr>
          <w:b/>
          <w:bCs/>
          <w:sz w:val="22"/>
          <w:szCs w:val="22"/>
        </w:rPr>
        <w:t xml:space="preserve">Cause profonde : </w:t>
      </w:r>
      <w:r>
        <w:rPr>
          <w:sz w:val="22"/>
          <w:szCs w:val="22"/>
        </w:rPr>
        <w:t>l'accessibilité a été traitée en fin de chaîne (contrôle) et non intégrée dès la conception. C'est un défaut de méthode, pas un défaut d'exécution ponctuel.</w:t>
      </w:r>
    </w:p>
    <w:p w14:paraId="00713833" w14:textId="77777777" w:rsidR="00BE16CC" w:rsidRDefault="00BE16CC" w:rsidP="00BE16CC">
      <w:pPr>
        <w:spacing w:before="160" w:after="80"/>
      </w:pPr>
      <w:r>
        <w:rPr>
          <w:b/>
          <w:bCs/>
          <w:color w:val="000000"/>
          <w:sz w:val="24"/>
          <w:szCs w:val="24"/>
        </w:rPr>
        <w:t>c) Les agences débordées au lancement</w:t>
      </w:r>
    </w:p>
    <w:p w14:paraId="1285B9F9" w14:textId="77777777" w:rsidR="00BE16CC" w:rsidRDefault="00BE16CC" w:rsidP="00BE16CC">
      <w:pPr>
        <w:spacing w:after="60"/>
      </w:pPr>
      <w:r>
        <w:rPr>
          <w:b/>
          <w:bCs/>
          <w:sz w:val="22"/>
          <w:szCs w:val="22"/>
        </w:rPr>
        <w:t xml:space="preserve">Symptôme : </w:t>
      </w:r>
      <w:r>
        <w:rPr>
          <w:sz w:val="22"/>
          <w:szCs w:val="22"/>
        </w:rPr>
        <w:t>montée de la messagerie écrite, agents sous tension, formation jugée trop courte par deux agences.</w:t>
      </w:r>
    </w:p>
    <w:p w14:paraId="2F3C36D6" w14:textId="77777777" w:rsidR="00BE16CC" w:rsidRDefault="00BE16CC" w:rsidP="00BE16CC">
      <w:pPr>
        <w:spacing w:after="120"/>
      </w:pPr>
      <w:r>
        <w:rPr>
          <w:b/>
          <w:bCs/>
          <w:sz w:val="22"/>
          <w:szCs w:val="22"/>
        </w:rPr>
        <w:t xml:space="preserve">Cause profonde : </w:t>
      </w:r>
      <w:r>
        <w:rPr>
          <w:sz w:val="22"/>
          <w:szCs w:val="22"/>
        </w:rPr>
        <w:t>la conduite du changement a été sous-dimensionnée, et surtout le transfert de charge d'un canal à l'autre n'a pas été anticipé. Le projet a mesuré la baisse des appels, mais pas la hausse corrélée des messages écrits — un même besoin qui change de canal, pas qui disparaît.</w:t>
      </w:r>
    </w:p>
    <w:p w14:paraId="3410899F" w14:textId="77777777" w:rsidR="00BE16CC" w:rsidRDefault="00BE16CC" w:rsidP="00BE16CC">
      <w:pPr>
        <w:spacing w:before="160" w:after="80"/>
      </w:pPr>
      <w:r>
        <w:rPr>
          <w:b/>
          <w:bCs/>
          <w:color w:val="000000"/>
          <w:sz w:val="24"/>
          <w:szCs w:val="24"/>
        </w:rPr>
        <w:t>d) Les frictions d'adoption côté locataires</w:t>
      </w:r>
    </w:p>
    <w:p w14:paraId="797C5ABC" w14:textId="77777777" w:rsidR="00BE16CC" w:rsidRDefault="00BE16CC" w:rsidP="00BE16CC">
      <w:pPr>
        <w:spacing w:after="60"/>
      </w:pPr>
      <w:r>
        <w:rPr>
          <w:b/>
          <w:bCs/>
          <w:sz w:val="22"/>
          <w:szCs w:val="22"/>
        </w:rPr>
        <w:t xml:space="preserve">Symptômes : </w:t>
      </w:r>
      <w:r>
        <w:rPr>
          <w:sz w:val="22"/>
          <w:szCs w:val="22"/>
        </w:rPr>
        <w:t>première connexion / activation de compte compliquée (pic de tickets à J+2 sur le SSO), notifications d'avancement trop lentes.</w:t>
      </w:r>
    </w:p>
    <w:p w14:paraId="32B1C8CF" w14:textId="77777777" w:rsidR="00BE16CC" w:rsidRDefault="00BE16CC" w:rsidP="00BE16CC">
      <w:pPr>
        <w:spacing w:after="120"/>
      </w:pPr>
      <w:r>
        <w:rPr>
          <w:b/>
          <w:bCs/>
          <w:sz w:val="22"/>
          <w:szCs w:val="22"/>
        </w:rPr>
        <w:t xml:space="preserve">Cause profonde : </w:t>
      </w:r>
      <w:r>
        <w:rPr>
          <w:sz w:val="22"/>
          <w:szCs w:val="22"/>
        </w:rPr>
        <w:t>l'</w:t>
      </w:r>
      <w:proofErr w:type="spellStart"/>
      <w:r>
        <w:rPr>
          <w:sz w:val="22"/>
          <w:szCs w:val="22"/>
        </w:rPr>
        <w:t>onboarding</w:t>
      </w:r>
      <w:proofErr w:type="spellEnd"/>
      <w:r>
        <w:rPr>
          <w:sz w:val="22"/>
          <w:szCs w:val="22"/>
        </w:rPr>
        <w:t xml:space="preserve"> et le cycle de notification n'ont pas été traités comme des fonctionnalités à part entière, alors qu'ils conditionnent directement l'atteinte des objectifs d'adoption.</w:t>
      </w:r>
    </w:p>
    <w:p w14:paraId="69717BA6" w14:textId="77777777" w:rsidR="00BE16CC" w:rsidRDefault="00BE16CC" w:rsidP="00BE16CC">
      <w:pPr>
        <w:pBdr>
          <w:top w:val="single" w:sz="4" w:space="0" w:color="BFBFBF"/>
          <w:left w:val="single" w:sz="4" w:space="0" w:color="BFBFBF"/>
          <w:bottom w:val="single" w:sz="4" w:space="0" w:color="BFBFBF"/>
          <w:right w:val="single" w:sz="4" w:space="0" w:color="BFBFBF"/>
        </w:pBdr>
        <w:shd w:val="clear" w:color="auto" w:fill="F2F2F2"/>
        <w:spacing w:before="40" w:after="120"/>
      </w:pPr>
      <w:r>
        <w:rPr>
          <w:b/>
          <w:bCs/>
          <w:sz w:val="22"/>
          <w:szCs w:val="22"/>
        </w:rPr>
        <w:t xml:space="preserve">Sur le budget : </w:t>
      </w:r>
      <w:r>
        <w:rPr>
          <w:sz w:val="22"/>
          <w:szCs w:val="22"/>
        </w:rPr>
        <w:t>le dépassement (+32 000 €) est presque entièrement une conséquence en cascade des causes ci-dessus (surcoût ESN de rattrapage, remédiation RGAA, formation supplémentaire). S'y ajoutent une provision pour aléas trop juste (15 000 €, déjà signalée insuffisante au cadrage) et un financement partiellement bâti sur une subvention non confirmée, finalement refusée.</w:t>
      </w:r>
    </w:p>
    <w:p w14:paraId="41A16FF6" w14:textId="77777777" w:rsidR="00BE16CC" w:rsidRDefault="00BE16CC" w:rsidP="00BE16CC">
      <w:pPr>
        <w:pStyle w:val="Titre1"/>
        <w:spacing w:before="320" w:after="140"/>
      </w:pPr>
      <w:r>
        <w:rPr>
          <w:b/>
          <w:bCs/>
          <w:color w:val="1F4E79"/>
          <w:sz w:val="30"/>
          <w:szCs w:val="30"/>
        </w:rPr>
        <w:t>4. Enseignements clés réutilisables</w:t>
      </w:r>
    </w:p>
    <w:p w14:paraId="69511658" w14:textId="77777777" w:rsidR="00BE16CC" w:rsidRDefault="00BE16CC" w:rsidP="00BE16CC">
      <w:pPr>
        <w:pStyle w:val="Paragraphedeliste"/>
        <w:numPr>
          <w:ilvl w:val="0"/>
          <w:numId w:val="2"/>
        </w:numPr>
        <w:spacing w:after="100"/>
        <w:contextualSpacing w:val="0"/>
      </w:pPr>
      <w:r>
        <w:rPr>
          <w:b/>
          <w:bCs/>
          <w:sz w:val="22"/>
          <w:szCs w:val="22"/>
        </w:rPr>
        <w:t xml:space="preserve">Une dépendance externe critique doit être contractualisée, pas seulement identifiée. </w:t>
      </w:r>
      <w:r>
        <w:rPr>
          <w:sz w:val="22"/>
          <w:szCs w:val="22"/>
        </w:rPr>
        <w:t>Un risque connu mais laissé sans garantie opposable (date ferme, jalon, pénalité) est un risque non traité. C'est ici la cause première du glissement.</w:t>
      </w:r>
    </w:p>
    <w:p w14:paraId="66D30FF9" w14:textId="77777777" w:rsidR="00BE16CC" w:rsidRDefault="00BE16CC" w:rsidP="00BE16CC">
      <w:pPr>
        <w:pStyle w:val="Paragraphedeliste"/>
        <w:numPr>
          <w:ilvl w:val="0"/>
          <w:numId w:val="2"/>
        </w:numPr>
        <w:spacing w:after="100"/>
        <w:contextualSpacing w:val="0"/>
      </w:pPr>
      <w:r>
        <w:rPr>
          <w:b/>
          <w:bCs/>
          <w:sz w:val="22"/>
          <w:szCs w:val="22"/>
        </w:rPr>
        <w:t xml:space="preserve">La conformité (accessibilité, RGPD) se conçoit, elle ne se contrôle pas en fin de course. </w:t>
      </w:r>
      <w:r>
        <w:rPr>
          <w:sz w:val="22"/>
          <w:szCs w:val="22"/>
        </w:rPr>
        <w:t>Intégrer les exigences RGAA dès la conception aurait évité une remédiation coûteuse et un audit tardif.</w:t>
      </w:r>
    </w:p>
    <w:p w14:paraId="4A18B3C6" w14:textId="77777777" w:rsidR="00BE16CC" w:rsidRDefault="00BE16CC" w:rsidP="00BE16CC">
      <w:pPr>
        <w:pStyle w:val="Paragraphedeliste"/>
        <w:numPr>
          <w:ilvl w:val="0"/>
          <w:numId w:val="2"/>
        </w:numPr>
        <w:spacing w:after="100"/>
        <w:contextualSpacing w:val="0"/>
      </w:pPr>
      <w:r>
        <w:rPr>
          <w:b/>
          <w:bCs/>
          <w:sz w:val="22"/>
          <w:szCs w:val="22"/>
        </w:rPr>
        <w:t xml:space="preserve">Dématérialiser déplace la charge, il ne la supprime pas. </w:t>
      </w:r>
      <w:r>
        <w:rPr>
          <w:sz w:val="22"/>
          <w:szCs w:val="22"/>
        </w:rPr>
        <w:t>Réduire les appels crée un afflux sur d'autres canaux (messagerie écrite). La conduite du changement et le dimensionnement des équipes doivent anticiper ce transfert.</w:t>
      </w:r>
    </w:p>
    <w:p w14:paraId="30B5977C" w14:textId="77777777" w:rsidR="00BE16CC" w:rsidRDefault="00BE16CC" w:rsidP="00BE16CC">
      <w:pPr>
        <w:pStyle w:val="Paragraphedeliste"/>
        <w:numPr>
          <w:ilvl w:val="0"/>
          <w:numId w:val="2"/>
        </w:numPr>
        <w:spacing w:after="100"/>
        <w:contextualSpacing w:val="0"/>
      </w:pPr>
      <w:r>
        <w:rPr>
          <w:b/>
          <w:bCs/>
          <w:sz w:val="22"/>
          <w:szCs w:val="22"/>
        </w:rPr>
        <w:t>L'</w:t>
      </w:r>
      <w:proofErr w:type="spellStart"/>
      <w:r>
        <w:rPr>
          <w:b/>
          <w:bCs/>
          <w:sz w:val="22"/>
          <w:szCs w:val="22"/>
        </w:rPr>
        <w:t>onboarding</w:t>
      </w:r>
      <w:proofErr w:type="spellEnd"/>
      <w:r>
        <w:rPr>
          <w:b/>
          <w:bCs/>
          <w:sz w:val="22"/>
          <w:szCs w:val="22"/>
        </w:rPr>
        <w:t xml:space="preserve"> est une fonctionnalité, pas un détail technique. </w:t>
      </w:r>
      <w:r>
        <w:rPr>
          <w:sz w:val="22"/>
          <w:szCs w:val="22"/>
        </w:rPr>
        <w:t>La première connexion et les notifications déterminent l'adoption réelle — les traiter comme secondaires plombe des objectifs par ailleurs bien engagés.</w:t>
      </w:r>
    </w:p>
    <w:p w14:paraId="418140BF" w14:textId="77777777" w:rsidR="00BE16CC" w:rsidRDefault="00BE16CC" w:rsidP="00BE16CC">
      <w:pPr>
        <w:pStyle w:val="Paragraphedeliste"/>
        <w:numPr>
          <w:ilvl w:val="0"/>
          <w:numId w:val="2"/>
        </w:numPr>
        <w:spacing w:after="100"/>
        <w:contextualSpacing w:val="0"/>
      </w:pPr>
      <w:r>
        <w:rPr>
          <w:b/>
          <w:bCs/>
          <w:sz w:val="22"/>
          <w:szCs w:val="22"/>
        </w:rPr>
        <w:t xml:space="preserve">La sincérité du plan de financement se juge sur ce qui est confirmé. </w:t>
      </w:r>
      <w:r>
        <w:rPr>
          <w:sz w:val="22"/>
          <w:szCs w:val="22"/>
        </w:rPr>
        <w:t>Compter sur une subvention non actée et provisionner les aléas au minimum expose mécaniquement à un passage en commission.</w:t>
      </w:r>
    </w:p>
    <w:p w14:paraId="169DAAEB" w14:textId="77777777" w:rsidR="00BE16CC" w:rsidRDefault="00BE16CC" w:rsidP="00BE16CC">
      <w:pPr>
        <w:pStyle w:val="Titre1"/>
        <w:spacing w:before="320" w:after="140"/>
      </w:pPr>
      <w:r>
        <w:rPr>
          <w:b/>
          <w:bCs/>
          <w:color w:val="1F4E79"/>
          <w:sz w:val="30"/>
          <w:szCs w:val="30"/>
        </w:rPr>
        <w:lastRenderedPageBreak/>
        <w:t>5. Recommandations concrètes</w:t>
      </w:r>
    </w:p>
    <w:p w14:paraId="39B2B072" w14:textId="77777777" w:rsidR="00BE16CC" w:rsidRDefault="00BE16CC" w:rsidP="00BE16CC">
      <w:pPr>
        <w:spacing w:before="160" w:after="80"/>
      </w:pPr>
      <w:r>
        <w:rPr>
          <w:b/>
          <w:bCs/>
          <w:color w:val="000000"/>
          <w:sz w:val="24"/>
          <w:szCs w:val="24"/>
        </w:rPr>
        <w:t>Pour l'organisation (transversal, futurs projets)</w:t>
      </w:r>
    </w:p>
    <w:p w14:paraId="1727CC4D" w14:textId="77777777" w:rsidR="00BE16CC" w:rsidRDefault="00BE16CC" w:rsidP="00BE16CC">
      <w:pPr>
        <w:pStyle w:val="Paragraphedeliste"/>
        <w:numPr>
          <w:ilvl w:val="0"/>
          <w:numId w:val="1"/>
        </w:numPr>
        <w:spacing w:after="80"/>
        <w:contextualSpacing w:val="0"/>
      </w:pPr>
      <w:r>
        <w:rPr>
          <w:b/>
          <w:bCs/>
          <w:sz w:val="22"/>
          <w:szCs w:val="22"/>
        </w:rPr>
        <w:t>Systématiser une clause de jalon ferme + pénalités</w:t>
      </w:r>
      <w:r>
        <w:rPr>
          <w:sz w:val="22"/>
          <w:szCs w:val="22"/>
        </w:rPr>
        <w:t xml:space="preserve"> pour toute dépendance éditeur/tiers sur le chemin critique, et exiger un plan de contingence dès la contractualisation.</w:t>
      </w:r>
    </w:p>
    <w:p w14:paraId="6CD55301" w14:textId="77777777" w:rsidR="00BE16CC" w:rsidRDefault="00BE16CC" w:rsidP="00BE16CC">
      <w:pPr>
        <w:pStyle w:val="Paragraphedeliste"/>
        <w:numPr>
          <w:ilvl w:val="0"/>
          <w:numId w:val="1"/>
        </w:numPr>
        <w:spacing w:after="80"/>
        <w:contextualSpacing w:val="0"/>
      </w:pPr>
      <w:r>
        <w:rPr>
          <w:b/>
          <w:bCs/>
          <w:sz w:val="22"/>
          <w:szCs w:val="22"/>
        </w:rPr>
        <w:t>Inscrire l'accessibilité et le RGPD dans la définition de « terminé »</w:t>
      </w:r>
      <w:r>
        <w:rPr>
          <w:sz w:val="22"/>
          <w:szCs w:val="22"/>
        </w:rPr>
        <w:t xml:space="preserve"> de chaque lot (design accessible, revues en cours de sprint, pré-audit à mi-parcours), plutôt qu'un audit unique en recette.</w:t>
      </w:r>
    </w:p>
    <w:p w14:paraId="4EDE2D92" w14:textId="77777777" w:rsidR="00BE16CC" w:rsidRDefault="00BE16CC" w:rsidP="00BE16CC">
      <w:pPr>
        <w:pStyle w:val="Paragraphedeliste"/>
        <w:numPr>
          <w:ilvl w:val="0"/>
          <w:numId w:val="1"/>
        </w:numPr>
        <w:spacing w:after="80"/>
        <w:contextualSpacing w:val="0"/>
      </w:pPr>
      <w:r>
        <w:rPr>
          <w:b/>
          <w:bCs/>
          <w:sz w:val="22"/>
          <w:szCs w:val="22"/>
        </w:rPr>
        <w:t>Réviser la règle de provision pour aléas</w:t>
      </w:r>
      <w:r>
        <w:rPr>
          <w:sz w:val="22"/>
          <w:szCs w:val="22"/>
        </w:rPr>
        <w:t xml:space="preserve"> (viser 8-10 % pour un projet à forte dépendance externe) et ne budgéter que les financements confirmés.</w:t>
      </w:r>
    </w:p>
    <w:p w14:paraId="3C871C92" w14:textId="77777777" w:rsidR="00BE16CC" w:rsidRDefault="00BE16CC" w:rsidP="00BE16CC">
      <w:pPr>
        <w:spacing w:before="160" w:after="80"/>
      </w:pPr>
      <w:r>
        <w:rPr>
          <w:b/>
          <w:bCs/>
          <w:color w:val="000000"/>
          <w:sz w:val="24"/>
          <w:szCs w:val="24"/>
        </w:rPr>
        <w:t>Pour ce produit (suite V1 → V2)</w:t>
      </w:r>
    </w:p>
    <w:p w14:paraId="265FE169" w14:textId="77777777" w:rsidR="00BE16CC" w:rsidRDefault="00BE16CC" w:rsidP="00BE16CC">
      <w:pPr>
        <w:pStyle w:val="Paragraphedeliste"/>
        <w:numPr>
          <w:ilvl w:val="0"/>
          <w:numId w:val="1"/>
        </w:numPr>
        <w:spacing w:after="80"/>
        <w:contextualSpacing w:val="0"/>
      </w:pPr>
      <w:r>
        <w:rPr>
          <w:b/>
          <w:bCs/>
          <w:sz w:val="22"/>
          <w:szCs w:val="22"/>
        </w:rPr>
        <w:t>Refondre le parcours de première connexion / activation SSO</w:t>
      </w:r>
      <w:r>
        <w:rPr>
          <w:sz w:val="22"/>
          <w:szCs w:val="22"/>
        </w:rPr>
        <w:t xml:space="preserve"> (cause du pic de tickets J+2) — quick </w:t>
      </w:r>
      <w:proofErr w:type="spellStart"/>
      <w:r>
        <w:rPr>
          <w:sz w:val="22"/>
          <w:szCs w:val="22"/>
        </w:rPr>
        <w:t>win</w:t>
      </w:r>
      <w:proofErr w:type="spellEnd"/>
      <w:r>
        <w:rPr>
          <w:sz w:val="22"/>
          <w:szCs w:val="22"/>
        </w:rPr>
        <w:t xml:space="preserve"> à fort impact sur l'adoption.</w:t>
      </w:r>
    </w:p>
    <w:p w14:paraId="475740DA" w14:textId="77777777" w:rsidR="00BE16CC" w:rsidRDefault="00BE16CC" w:rsidP="00BE16CC">
      <w:pPr>
        <w:pStyle w:val="Paragraphedeliste"/>
        <w:numPr>
          <w:ilvl w:val="0"/>
          <w:numId w:val="1"/>
        </w:numPr>
        <w:spacing w:after="80"/>
        <w:contextualSpacing w:val="0"/>
      </w:pPr>
      <w:r>
        <w:rPr>
          <w:b/>
          <w:bCs/>
          <w:sz w:val="22"/>
          <w:szCs w:val="22"/>
        </w:rPr>
        <w:t>Fiabiliser et accélérer les notifications d'avancement d'intervention</w:t>
      </w:r>
      <w:r>
        <w:rPr>
          <w:sz w:val="22"/>
          <w:szCs w:val="22"/>
        </w:rPr>
        <w:t xml:space="preserve"> (friction n°1 des locataires) et viser un vrai temps réel si le coût le justifie.</w:t>
      </w:r>
    </w:p>
    <w:p w14:paraId="795FBE83" w14:textId="77777777" w:rsidR="00BE16CC" w:rsidRDefault="00BE16CC" w:rsidP="00BE16CC">
      <w:pPr>
        <w:pStyle w:val="Paragraphedeliste"/>
        <w:numPr>
          <w:ilvl w:val="0"/>
          <w:numId w:val="1"/>
        </w:numPr>
        <w:spacing w:after="80"/>
        <w:contextualSpacing w:val="0"/>
      </w:pPr>
      <w:r>
        <w:rPr>
          <w:b/>
          <w:bCs/>
          <w:sz w:val="22"/>
          <w:szCs w:val="22"/>
        </w:rPr>
        <w:t>Réintégrer le tableau de bord agent</w:t>
      </w:r>
      <w:r>
        <w:rPr>
          <w:sz w:val="22"/>
          <w:szCs w:val="22"/>
        </w:rPr>
        <w:t xml:space="preserve"> </w:t>
      </w:r>
      <w:proofErr w:type="spellStart"/>
      <w:r>
        <w:rPr>
          <w:sz w:val="22"/>
          <w:szCs w:val="22"/>
        </w:rPr>
        <w:t>descopé</w:t>
      </w:r>
      <w:proofErr w:type="spellEnd"/>
      <w:r>
        <w:rPr>
          <w:sz w:val="22"/>
          <w:szCs w:val="22"/>
        </w:rPr>
        <w:t>, régulièrement redemandé par les agences.</w:t>
      </w:r>
    </w:p>
    <w:p w14:paraId="691CA731" w14:textId="77777777" w:rsidR="00BE16CC" w:rsidRDefault="00BE16CC" w:rsidP="00BE16CC">
      <w:pPr>
        <w:pStyle w:val="Paragraphedeliste"/>
        <w:numPr>
          <w:ilvl w:val="0"/>
          <w:numId w:val="1"/>
        </w:numPr>
        <w:spacing w:after="80"/>
        <w:contextualSpacing w:val="0"/>
      </w:pPr>
      <w:r>
        <w:rPr>
          <w:b/>
          <w:bCs/>
          <w:sz w:val="22"/>
          <w:szCs w:val="22"/>
        </w:rPr>
        <w:t>Renforcer et rallonger la formation des agences</w:t>
      </w:r>
      <w:r>
        <w:rPr>
          <w:sz w:val="22"/>
          <w:szCs w:val="22"/>
        </w:rPr>
        <w:t>, avec un volet « traitement de la messagerie écrite » et un ajustement possible de l'organisation du centre de relation client.</w:t>
      </w:r>
    </w:p>
    <w:p w14:paraId="0B46E988" w14:textId="77777777" w:rsidR="00BE16CC" w:rsidRDefault="00BE16CC" w:rsidP="00BE16CC">
      <w:pPr>
        <w:pStyle w:val="Paragraphedeliste"/>
        <w:numPr>
          <w:ilvl w:val="0"/>
          <w:numId w:val="1"/>
        </w:numPr>
        <w:spacing w:after="80"/>
        <w:contextualSpacing w:val="0"/>
      </w:pPr>
      <w:r>
        <w:rPr>
          <w:b/>
          <w:bCs/>
          <w:sz w:val="22"/>
          <w:szCs w:val="22"/>
        </w:rPr>
        <w:t>Optimiser les performances sur terminaux Android anciens</w:t>
      </w:r>
      <w:r>
        <w:rPr>
          <w:sz w:val="22"/>
          <w:szCs w:val="22"/>
        </w:rPr>
        <w:t xml:space="preserve"> (irritant récurrent du panel).</w:t>
      </w:r>
    </w:p>
    <w:p w14:paraId="3A79BB02" w14:textId="77777777" w:rsidR="00BE16CC" w:rsidRDefault="00BE16CC" w:rsidP="00BE16CC">
      <w:pPr>
        <w:spacing w:before="160" w:after="80"/>
      </w:pPr>
      <w:r>
        <w:rPr>
          <w:b/>
          <w:bCs/>
          <w:color w:val="000000"/>
          <w:sz w:val="24"/>
          <w:szCs w:val="24"/>
        </w:rPr>
        <w:t>Sur le pilotage</w:t>
      </w:r>
    </w:p>
    <w:p w14:paraId="6B0802D5" w14:textId="77777777" w:rsidR="00BE16CC" w:rsidRDefault="00BE16CC" w:rsidP="00BE16CC">
      <w:pPr>
        <w:pStyle w:val="Paragraphedeliste"/>
        <w:numPr>
          <w:ilvl w:val="0"/>
          <w:numId w:val="1"/>
        </w:numPr>
        <w:spacing w:after="80"/>
        <w:contextualSpacing w:val="0"/>
      </w:pPr>
      <w:r>
        <w:rPr>
          <w:sz w:val="22"/>
          <w:szCs w:val="22"/>
        </w:rPr>
        <w:t xml:space="preserve">Capitaliser la bonne pratique </w:t>
      </w:r>
      <w:r>
        <w:rPr>
          <w:b/>
          <w:bCs/>
          <w:sz w:val="22"/>
          <w:szCs w:val="22"/>
        </w:rPr>
        <w:t>« décaler plutôt que dégrader »</w:t>
      </w:r>
      <w:r>
        <w:rPr>
          <w:sz w:val="22"/>
          <w:szCs w:val="22"/>
        </w:rPr>
        <w:t xml:space="preserve"> comme principe d'arbitrage documenté.</w:t>
      </w:r>
    </w:p>
    <w:p w14:paraId="2D618DAE" w14:textId="77777777" w:rsidR="00BE16CC" w:rsidRDefault="00BE16CC" w:rsidP="00BE16CC">
      <w:pPr>
        <w:pStyle w:val="Paragraphedeliste"/>
        <w:numPr>
          <w:ilvl w:val="0"/>
          <w:numId w:val="1"/>
        </w:numPr>
        <w:spacing w:after="80"/>
        <w:contextualSpacing w:val="0"/>
      </w:pPr>
      <w:r>
        <w:rPr>
          <w:sz w:val="22"/>
          <w:szCs w:val="22"/>
        </w:rPr>
        <w:t>Suivre l'adoption et la baisse des appels jusqu'à l'échéance des 12 mois avant de conclure sur les objectifs chiffrés — la trajectoire à J+60 est encourageante mais non aboutie. »</w:t>
      </w:r>
    </w:p>
    <w:p w14:paraId="43CAB6C5" w14:textId="77777777" w:rsidR="002A2658" w:rsidRDefault="002A2658"/>
    <w:sectPr w:rsidR="002A26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F54FB"/>
    <w:multiLevelType w:val="hybridMultilevel"/>
    <w:tmpl w:val="C7F6A4BC"/>
    <w:lvl w:ilvl="0" w:tplc="28A2355A">
      <w:start w:val="1"/>
      <w:numFmt w:val="decimal"/>
      <w:lvlText w:val="%1."/>
      <w:lvlJc w:val="left"/>
      <w:pPr>
        <w:ind w:left="460" w:hanging="260"/>
      </w:pPr>
    </w:lvl>
    <w:lvl w:ilvl="1" w:tplc="2D4621EC">
      <w:numFmt w:val="decimal"/>
      <w:lvlText w:val=""/>
      <w:lvlJc w:val="left"/>
    </w:lvl>
    <w:lvl w:ilvl="2" w:tplc="E5EAD226">
      <w:numFmt w:val="decimal"/>
      <w:lvlText w:val=""/>
      <w:lvlJc w:val="left"/>
    </w:lvl>
    <w:lvl w:ilvl="3" w:tplc="9B42C114">
      <w:numFmt w:val="decimal"/>
      <w:lvlText w:val=""/>
      <w:lvlJc w:val="left"/>
    </w:lvl>
    <w:lvl w:ilvl="4" w:tplc="A5B48088">
      <w:numFmt w:val="decimal"/>
      <w:lvlText w:val=""/>
      <w:lvlJc w:val="left"/>
    </w:lvl>
    <w:lvl w:ilvl="5" w:tplc="3EA831C2">
      <w:numFmt w:val="decimal"/>
      <w:lvlText w:val=""/>
      <w:lvlJc w:val="left"/>
    </w:lvl>
    <w:lvl w:ilvl="6" w:tplc="6390F1D2">
      <w:numFmt w:val="decimal"/>
      <w:lvlText w:val=""/>
      <w:lvlJc w:val="left"/>
    </w:lvl>
    <w:lvl w:ilvl="7" w:tplc="A5EA9DB8">
      <w:numFmt w:val="decimal"/>
      <w:lvlText w:val=""/>
      <w:lvlJc w:val="left"/>
    </w:lvl>
    <w:lvl w:ilvl="8" w:tplc="158C0F1A">
      <w:numFmt w:val="decimal"/>
      <w:lvlText w:val=""/>
      <w:lvlJc w:val="left"/>
    </w:lvl>
  </w:abstractNum>
  <w:abstractNum w:abstractNumId="1" w15:restartNumberingAfterBreak="0">
    <w:nsid w:val="40665326"/>
    <w:multiLevelType w:val="hybridMultilevel"/>
    <w:tmpl w:val="5AEC9AF2"/>
    <w:lvl w:ilvl="0" w:tplc="D14CED9E">
      <w:start w:val="1"/>
      <w:numFmt w:val="bullet"/>
      <w:lvlText w:val="•"/>
      <w:lvlJc w:val="left"/>
      <w:pPr>
        <w:ind w:left="460" w:hanging="260"/>
      </w:pPr>
    </w:lvl>
    <w:lvl w:ilvl="1" w:tplc="52642C06">
      <w:start w:val="1"/>
      <w:numFmt w:val="bullet"/>
      <w:lvlText w:val="◦"/>
      <w:lvlJc w:val="left"/>
      <w:pPr>
        <w:ind w:left="920" w:hanging="260"/>
      </w:pPr>
    </w:lvl>
    <w:lvl w:ilvl="2" w:tplc="31307112">
      <w:numFmt w:val="decimal"/>
      <w:lvlText w:val=""/>
      <w:lvlJc w:val="left"/>
    </w:lvl>
    <w:lvl w:ilvl="3" w:tplc="3AECBC48">
      <w:numFmt w:val="decimal"/>
      <w:lvlText w:val=""/>
      <w:lvlJc w:val="left"/>
    </w:lvl>
    <w:lvl w:ilvl="4" w:tplc="8DF46756">
      <w:numFmt w:val="decimal"/>
      <w:lvlText w:val=""/>
      <w:lvlJc w:val="left"/>
    </w:lvl>
    <w:lvl w:ilvl="5" w:tplc="D20A4618">
      <w:numFmt w:val="decimal"/>
      <w:lvlText w:val=""/>
      <w:lvlJc w:val="left"/>
    </w:lvl>
    <w:lvl w:ilvl="6" w:tplc="5A18D84E">
      <w:numFmt w:val="decimal"/>
      <w:lvlText w:val=""/>
      <w:lvlJc w:val="left"/>
    </w:lvl>
    <w:lvl w:ilvl="7" w:tplc="CED8E846">
      <w:numFmt w:val="decimal"/>
      <w:lvlText w:val=""/>
      <w:lvlJc w:val="left"/>
    </w:lvl>
    <w:lvl w:ilvl="8" w:tplc="4B461D0E">
      <w:numFmt w:val="decimal"/>
      <w:lvlText w:val=""/>
      <w:lvlJc w:val="left"/>
    </w:lvl>
  </w:abstractNum>
  <w:num w:numId="1" w16cid:durableId="2086030101">
    <w:abstractNumId w:val="1"/>
    <w:lvlOverride w:ilvl="0">
      <w:startOverride w:val="1"/>
    </w:lvlOverride>
  </w:num>
  <w:num w:numId="2" w16cid:durableId="1452488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0C"/>
    <w:rsid w:val="002A2658"/>
    <w:rsid w:val="00594DD8"/>
    <w:rsid w:val="00703187"/>
    <w:rsid w:val="00B6121B"/>
    <w:rsid w:val="00BE16CC"/>
    <w:rsid w:val="00D170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7F13A"/>
  <w15:chartTrackingRefBased/>
  <w15:docId w15:val="{818E198E-E22B-4B61-A985-6A96BF60D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6CC"/>
    <w:pPr>
      <w:spacing w:after="0" w:line="240" w:lineRule="auto"/>
    </w:pPr>
    <w:rPr>
      <w:rFonts w:ascii="Calibri" w:eastAsia="Calibri" w:hAnsi="Calibri" w:cs="Calibri"/>
      <w:color w:val="37352F"/>
      <w:kern w:val="0"/>
      <w:sz w:val="21"/>
      <w:szCs w:val="21"/>
      <w:lang w:eastAsia="fr-FR"/>
      <w14:ligatures w14:val="none"/>
    </w:rPr>
  </w:style>
  <w:style w:type="paragraph" w:styleId="Titre1">
    <w:name w:val="heading 1"/>
    <w:basedOn w:val="Normal"/>
    <w:next w:val="Normal"/>
    <w:link w:val="Titre1Car"/>
    <w:uiPriority w:val="9"/>
    <w:qFormat/>
    <w:rsid w:val="00D170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170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1700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1700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1700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1700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1700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1700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1700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700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1700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1700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1700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1700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1700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1700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1700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1700C"/>
    <w:rPr>
      <w:rFonts w:eastAsiaTheme="majorEastAsia" w:cstheme="majorBidi"/>
      <w:color w:val="272727" w:themeColor="text1" w:themeTint="D8"/>
    </w:rPr>
  </w:style>
  <w:style w:type="paragraph" w:styleId="Titre">
    <w:name w:val="Title"/>
    <w:basedOn w:val="Normal"/>
    <w:next w:val="Normal"/>
    <w:link w:val="TitreCar"/>
    <w:uiPriority w:val="10"/>
    <w:qFormat/>
    <w:rsid w:val="00D1700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1700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1700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1700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1700C"/>
    <w:pPr>
      <w:spacing w:before="160"/>
      <w:jc w:val="center"/>
    </w:pPr>
    <w:rPr>
      <w:i/>
      <w:iCs/>
      <w:color w:val="404040" w:themeColor="text1" w:themeTint="BF"/>
    </w:rPr>
  </w:style>
  <w:style w:type="character" w:customStyle="1" w:styleId="CitationCar">
    <w:name w:val="Citation Car"/>
    <w:basedOn w:val="Policepardfaut"/>
    <w:link w:val="Citation"/>
    <w:uiPriority w:val="29"/>
    <w:rsid w:val="00D1700C"/>
    <w:rPr>
      <w:i/>
      <w:iCs/>
      <w:color w:val="404040" w:themeColor="text1" w:themeTint="BF"/>
    </w:rPr>
  </w:style>
  <w:style w:type="paragraph" w:styleId="Paragraphedeliste">
    <w:name w:val="List Paragraph"/>
    <w:basedOn w:val="Normal"/>
    <w:qFormat/>
    <w:rsid w:val="00D1700C"/>
    <w:pPr>
      <w:ind w:left="720"/>
      <w:contextualSpacing/>
    </w:pPr>
  </w:style>
  <w:style w:type="character" w:styleId="Accentuationintense">
    <w:name w:val="Intense Emphasis"/>
    <w:basedOn w:val="Policepardfaut"/>
    <w:uiPriority w:val="21"/>
    <w:qFormat/>
    <w:rsid w:val="00D1700C"/>
    <w:rPr>
      <w:i/>
      <w:iCs/>
      <w:color w:val="0F4761" w:themeColor="accent1" w:themeShade="BF"/>
    </w:rPr>
  </w:style>
  <w:style w:type="paragraph" w:styleId="Citationintense">
    <w:name w:val="Intense Quote"/>
    <w:basedOn w:val="Normal"/>
    <w:next w:val="Normal"/>
    <w:link w:val="CitationintenseCar"/>
    <w:uiPriority w:val="30"/>
    <w:qFormat/>
    <w:rsid w:val="00D170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1700C"/>
    <w:rPr>
      <w:i/>
      <w:iCs/>
      <w:color w:val="0F4761" w:themeColor="accent1" w:themeShade="BF"/>
    </w:rPr>
  </w:style>
  <w:style w:type="character" w:styleId="Rfrenceintense">
    <w:name w:val="Intense Reference"/>
    <w:basedOn w:val="Policepardfaut"/>
    <w:uiPriority w:val="32"/>
    <w:qFormat/>
    <w:rsid w:val="00D170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1031</Words>
  <Characters>5675</Characters>
  <Application>Microsoft Office Word</Application>
  <DocSecurity>0</DocSecurity>
  <Lines>47</Lines>
  <Paragraphs>13</Paragraphs>
  <ScaleCrop>false</ScaleCrop>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Marwan BAKKALI</dc:creator>
  <cp:keywords/>
  <dc:description/>
  <cp:lastModifiedBy>Marwan BAKKALI</cp:lastModifiedBy>
  <cp:revision>2</cp:revision>
  <dcterms:created xsi:type="dcterms:W3CDTF">2026-08-19T12:43:00Z</dcterms:created>
  <dcterms:modified xsi:type="dcterms:W3CDTF">2026-08-19T12:44:00Z</dcterms:modified>
</cp:coreProperties>
</file>