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F1F86" w:rsidRDefault="00000000">
      <w:pPr>
        <w:pStyle w:val="Heading1"/>
        <w:keepNext w:val="0"/>
        <w:keepLines w:val="0"/>
        <w:widowControl w:val="0"/>
        <w:numPr>
          <w:ilvl w:val="0"/>
          <w:numId w:val="2"/>
        </w:numPr>
        <w:tabs>
          <w:tab w:val="left" w:pos="708"/>
          <w:tab w:val="left" w:pos="709"/>
        </w:tabs>
        <w:spacing w:before="0" w:after="0" w:line="36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Introduction</w:t>
      </w:r>
      <w:r>
        <w:rPr>
          <w:noProof/>
        </w:rPr>
        <mc:AlternateContent>
          <mc:Choice Requires="wpg">
            <w:drawing>
              <wp:anchor distT="0" distB="0" distL="114300" distR="114300" simplePos="0" relativeHeight="251658240" behindDoc="0" locked="0" layoutInCell="1" hidden="0" allowOverlap="1">
                <wp:simplePos x="0" y="0"/>
                <wp:positionH relativeFrom="column">
                  <wp:posOffset>-444499</wp:posOffset>
                </wp:positionH>
                <wp:positionV relativeFrom="paragraph">
                  <wp:posOffset>0</wp:posOffset>
                </wp:positionV>
                <wp:extent cx="12700" cy="12700"/>
                <wp:effectExtent l="0" t="0" r="0" b="0"/>
                <wp:wrapTopAndBottom distT="0" distB="0"/>
                <wp:docPr id="1" name="Straight Arrow Connector 1"/>
                <wp:cNvGraphicFramePr/>
                <a:graphic xmlns:a="http://schemas.openxmlformats.org/drawingml/2006/main">
                  <a:graphicData uri="http://schemas.microsoft.com/office/word/2010/wordprocessingShape">
                    <wps:wsp>
                      <wps:cNvCnPr/>
                      <wps:spPr>
                        <a:xfrm>
                          <a:off x="6535736" y="3900225"/>
                          <a:ext cx="3185172" cy="0"/>
                        </a:xfrm>
                        <a:prstGeom prst="straightConnector1">
                          <a:avLst/>
                        </a:prstGeom>
                        <a:solidFill>
                          <a:srgbClr val="FFFFFF"/>
                        </a:solidFill>
                        <a:ln w="9525" cap="flat" cmpd="sng">
                          <a:solidFill>
                            <a:srgbClr val="DB69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-444499</wp:posOffset>
                </wp:positionH>
                <wp:positionV relativeFrom="paragraph">
                  <wp:posOffset>0</wp:posOffset>
                </wp:positionV>
                <wp:extent cx="12700"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2700" cy="12700"/>
                        </a:xfrm>
                        <a:prstGeom prst="rect"/>
                        <a:ln/>
                      </pic:spPr>
                    </pic:pic>
                  </a:graphicData>
                </a:graphic>
              </wp:anchor>
            </w:drawing>
          </mc:Fallback>
        </mc:AlternateContent>
      </w:r>
    </w:p>
    <w:p w:rsidR="00BF1F86" w:rsidRDefault="00000000">
      <w:pPr>
        <w:widowControl w:val="0"/>
        <w:numPr>
          <w:ilvl w:val="0"/>
          <w:numId w:val="2"/>
        </w:numPr>
        <w:tabs>
          <w:tab w:val="left" w:pos="703"/>
          <w:tab w:val="left" w:pos="704"/>
        </w:tabs>
        <w:spacing w:line="36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Service providers and subcontractors</w:t>
      </w:r>
    </w:p>
    <w:p w:rsidR="00BF1F86" w:rsidRDefault="00000000">
      <w:pPr>
        <w:widowControl w:val="0"/>
        <w:numPr>
          <w:ilvl w:val="0"/>
          <w:numId w:val="2"/>
        </w:numPr>
        <w:tabs>
          <w:tab w:val="left" w:pos="708"/>
          <w:tab w:val="left" w:pos="709"/>
        </w:tabs>
        <w:spacing w:line="36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Your responsibilities</w:t>
      </w:r>
    </w:p>
    <w:p w:rsidR="00BF1F86" w:rsidRDefault="00000000">
      <w:pPr>
        <w:widowControl w:val="0"/>
        <w:numPr>
          <w:ilvl w:val="0"/>
          <w:numId w:val="2"/>
        </w:numPr>
        <w:tabs>
          <w:tab w:val="left" w:pos="708"/>
          <w:tab w:val="left" w:pos="709"/>
        </w:tabs>
        <w:spacing w:line="36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Confidentiality</w:t>
      </w:r>
    </w:p>
    <w:p w:rsidR="00BF1F86" w:rsidRDefault="00000000">
      <w:pPr>
        <w:widowControl w:val="0"/>
        <w:numPr>
          <w:ilvl w:val="0"/>
          <w:numId w:val="2"/>
        </w:numPr>
        <w:tabs>
          <w:tab w:val="left" w:pos="708"/>
          <w:tab w:val="left" w:pos="709"/>
        </w:tabs>
        <w:spacing w:line="36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Third party request for information</w:t>
      </w:r>
    </w:p>
    <w:p w:rsidR="00BF1F86" w:rsidRDefault="00000000">
      <w:pPr>
        <w:widowControl w:val="0"/>
        <w:numPr>
          <w:ilvl w:val="0"/>
          <w:numId w:val="2"/>
        </w:numPr>
        <w:tabs>
          <w:tab w:val="left" w:pos="708"/>
          <w:tab w:val="left" w:pos="709"/>
        </w:tabs>
        <w:spacing w:line="36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Personal or protected information</w:t>
      </w:r>
    </w:p>
    <w:p w:rsidR="00BF1F86" w:rsidRDefault="00000000">
      <w:pPr>
        <w:widowControl w:val="0"/>
        <w:numPr>
          <w:ilvl w:val="0"/>
          <w:numId w:val="2"/>
        </w:numPr>
        <w:tabs>
          <w:tab w:val="left" w:pos="708"/>
          <w:tab w:val="left" w:pos="709"/>
        </w:tabs>
        <w:spacing w:line="36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Intellectual property rights</w:t>
      </w:r>
    </w:p>
    <w:p w:rsidR="00BF1F86" w:rsidRDefault="00000000">
      <w:pPr>
        <w:widowControl w:val="0"/>
        <w:numPr>
          <w:ilvl w:val="0"/>
          <w:numId w:val="2"/>
        </w:numPr>
        <w:tabs>
          <w:tab w:val="left" w:pos="708"/>
          <w:tab w:val="left" w:pos="709"/>
        </w:tabs>
        <w:spacing w:line="36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Liability</w:t>
      </w:r>
    </w:p>
    <w:p w:rsidR="00BF1F86" w:rsidRDefault="00000000">
      <w:pPr>
        <w:widowControl w:val="0"/>
        <w:numPr>
          <w:ilvl w:val="0"/>
          <w:numId w:val="2"/>
        </w:numPr>
        <w:tabs>
          <w:tab w:val="left" w:pos="708"/>
          <w:tab w:val="left" w:pos="709"/>
        </w:tabs>
        <w:spacing w:line="36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Termination</w:t>
      </w:r>
    </w:p>
    <w:p w:rsidR="00BF1F86" w:rsidRDefault="00000000">
      <w:pPr>
        <w:widowControl w:val="0"/>
        <w:numPr>
          <w:ilvl w:val="0"/>
          <w:numId w:val="2"/>
        </w:numPr>
        <w:tabs>
          <w:tab w:val="left" w:pos="708"/>
          <w:tab w:val="left" w:pos="709"/>
        </w:tabs>
        <w:spacing w:line="36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Governing law</w:t>
      </w:r>
    </w:p>
    <w:p w:rsidR="00BF1F86" w:rsidRDefault="00000000">
      <w:pPr>
        <w:widowControl w:val="0"/>
        <w:numPr>
          <w:ilvl w:val="0"/>
          <w:numId w:val="2"/>
        </w:numPr>
        <w:tabs>
          <w:tab w:val="left" w:pos="708"/>
          <w:tab w:val="left" w:pos="709"/>
        </w:tabs>
        <w:spacing w:line="36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General</w:t>
      </w:r>
    </w:p>
    <w:p w:rsidR="00BF1F86" w:rsidRDefault="00FB5DED">
      <w:pPr>
        <w:widowControl w:val="0"/>
        <w:spacing w:before="5" w:line="240" w:lineRule="auto"/>
        <w:rPr>
          <w:rFonts w:ascii="Playfair Display" w:eastAsia="Playfair Display" w:hAnsi="Playfair Display" w:cs="Playfair Display"/>
          <w:b/>
          <w:sz w:val="14"/>
          <w:szCs w:val="14"/>
        </w:rPr>
      </w:pPr>
      <w:r>
        <w:rPr>
          <w:noProof/>
        </w:rPr>
        <w:pict>
          <v:rect id="_x0000_i1025" alt="" style="width:216.2pt;height:.05pt;mso-width-percent:0;mso-height-percent:0;mso-width-percent:0;mso-height-percent:0" o:hrpct="462" o:hralign="center" o:hrstd="t" o:hr="t" fillcolor="#a0a0a0" stroked="f"/>
        </w:pict>
      </w:r>
    </w:p>
    <w:p w:rsidR="00BF1F86" w:rsidRDefault="00000000">
      <w:pPr>
        <w:pStyle w:val="Heading2"/>
        <w:keepNext w:val="0"/>
        <w:keepLines w:val="0"/>
        <w:numPr>
          <w:ilvl w:val="0"/>
          <w:numId w:val="1"/>
        </w:numPr>
      </w:pPr>
      <w:r>
        <w:t>Introduction</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Interpretation </w:t>
      </w:r>
      <w:r>
        <w:rPr>
          <w:rFonts w:ascii="Playfair Display" w:eastAsia="Playfair Display" w:hAnsi="Playfair Display" w:cs="Playfair Display"/>
          <w:sz w:val="14"/>
          <w:szCs w:val="14"/>
        </w:rPr>
        <w:t>– In this Agreement the following words and expressions have the meaning given to them below:</w:t>
      </w:r>
    </w:p>
    <w:p w:rsidR="00BF1F86" w:rsidRDefault="00000000">
      <w:pPr>
        <w:widowControl w:val="0"/>
        <w:spacing w:after="52" w:line="240" w:lineRule="auto"/>
        <w:ind w:left="574"/>
        <w:rPr>
          <w:rFonts w:ascii="Playfair Display" w:eastAsia="Playfair Display" w:hAnsi="Playfair Display" w:cs="Playfair Display"/>
          <w:sz w:val="14"/>
          <w:szCs w:val="14"/>
        </w:rPr>
      </w:pPr>
      <w:r>
        <w:rPr>
          <w:rFonts w:ascii="Playfair Display" w:eastAsia="Playfair Display" w:hAnsi="Playfair Display" w:cs="Playfair Display"/>
          <w:sz w:val="14"/>
          <w:szCs w:val="14"/>
        </w:rPr>
        <w:t xml:space="preserve">the </w:t>
      </w:r>
      <w:r>
        <w:rPr>
          <w:rFonts w:ascii="Playfair Display" w:eastAsia="Playfair Display" w:hAnsi="Playfair Display" w:cs="Playfair Display"/>
          <w:b/>
          <w:sz w:val="14"/>
          <w:szCs w:val="14"/>
        </w:rPr>
        <w:t xml:space="preserve">Agreement </w:t>
      </w:r>
      <w:r>
        <w:rPr>
          <w:rFonts w:ascii="Playfair Display" w:eastAsia="Playfair Display" w:hAnsi="Playfair Display" w:cs="Playfair Display"/>
          <w:sz w:val="14"/>
          <w:szCs w:val="14"/>
        </w:rPr>
        <w:t>– these terms and the engagement letter to which they relate (including any appendices)</w:t>
      </w:r>
    </w:p>
    <w:p w:rsidR="00BF1F86" w:rsidRDefault="00000000">
      <w:pPr>
        <w:widowControl w:val="0"/>
        <w:spacing w:after="52" w:line="240" w:lineRule="auto"/>
        <w:ind w:left="574"/>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we</w:t>
      </w:r>
      <w:r>
        <w:rPr>
          <w:rFonts w:ascii="Playfair Display" w:eastAsia="Playfair Display" w:hAnsi="Playfair Display" w:cs="Playfair Display"/>
          <w:sz w:val="14"/>
          <w:szCs w:val="14"/>
        </w:rPr>
        <w:t xml:space="preserve">, </w:t>
      </w:r>
      <w:r>
        <w:rPr>
          <w:rFonts w:ascii="Playfair Display" w:eastAsia="Playfair Display" w:hAnsi="Playfair Display" w:cs="Playfair Display"/>
          <w:b/>
          <w:sz w:val="14"/>
          <w:szCs w:val="14"/>
        </w:rPr>
        <w:t>us</w:t>
      </w:r>
      <w:r>
        <w:rPr>
          <w:rFonts w:ascii="Playfair Display" w:eastAsia="Playfair Display" w:hAnsi="Playfair Display" w:cs="Playfair Display"/>
          <w:sz w:val="14"/>
          <w:szCs w:val="14"/>
        </w:rPr>
        <w:t xml:space="preserve"> or </w:t>
      </w:r>
      <w:r>
        <w:rPr>
          <w:rFonts w:ascii="Playfair Display" w:eastAsia="Playfair Display" w:hAnsi="Playfair Display" w:cs="Playfair Display"/>
          <w:b/>
          <w:sz w:val="14"/>
          <w:szCs w:val="14"/>
        </w:rPr>
        <w:t xml:space="preserve">our </w:t>
      </w:r>
      <w:r>
        <w:rPr>
          <w:rFonts w:ascii="Playfair Display" w:eastAsia="Playfair Display" w:hAnsi="Playfair Display" w:cs="Playfair Display"/>
          <w:sz w:val="14"/>
          <w:szCs w:val="14"/>
        </w:rPr>
        <w:t>– refers to StratMinds, Inc., a corporation established under the laws of the State of Delaware, or such affiliated legal entity that has signed the engagement letter</w:t>
      </w:r>
    </w:p>
    <w:p w:rsidR="00BF1F86" w:rsidRDefault="00000000">
      <w:pPr>
        <w:widowControl w:val="0"/>
        <w:spacing w:after="52" w:line="240" w:lineRule="auto"/>
        <w:ind w:left="574"/>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you</w:t>
      </w:r>
      <w:r>
        <w:rPr>
          <w:rFonts w:ascii="Playfair Display" w:eastAsia="Playfair Display" w:hAnsi="Playfair Display" w:cs="Playfair Display"/>
          <w:sz w:val="14"/>
          <w:szCs w:val="14"/>
        </w:rPr>
        <w:t xml:space="preserve"> or </w:t>
      </w:r>
      <w:r>
        <w:rPr>
          <w:rFonts w:ascii="Playfair Display" w:eastAsia="Playfair Display" w:hAnsi="Playfair Display" w:cs="Playfair Display"/>
          <w:b/>
          <w:sz w:val="14"/>
          <w:szCs w:val="14"/>
        </w:rPr>
        <w:t xml:space="preserve">your </w:t>
      </w:r>
      <w:r>
        <w:rPr>
          <w:rFonts w:ascii="Playfair Display" w:eastAsia="Playfair Display" w:hAnsi="Playfair Display" w:cs="Playfair Display"/>
          <w:sz w:val="14"/>
          <w:szCs w:val="14"/>
        </w:rPr>
        <w:t>– the party or parties</w:t>
      </w:r>
      <w:r>
        <w:rPr>
          <w:rFonts w:ascii="Playfair Display" w:eastAsia="Playfair Display" w:hAnsi="Playfair Display" w:cs="Playfair Display"/>
          <w:sz w:val="14"/>
          <w:szCs w:val="14"/>
          <w:highlight w:val="white"/>
        </w:rPr>
        <w:t xml:space="preserve">, </w:t>
      </w:r>
      <w:r>
        <w:rPr>
          <w:rFonts w:ascii="Playfair Display" w:eastAsia="Playfair Display" w:hAnsi="Playfair Display" w:cs="Playfair Display"/>
          <w:sz w:val="14"/>
          <w:szCs w:val="14"/>
        </w:rPr>
        <w:t>including their directors, officers, management, employees, agents and representatives, to the Agreement (excluding us)</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Services/deliverables </w:t>
      </w:r>
      <w:r>
        <w:rPr>
          <w:rFonts w:ascii="Playfair Display" w:eastAsia="Playfair Display" w:hAnsi="Playfair Display" w:cs="Playfair Display"/>
          <w:sz w:val="14"/>
          <w:szCs w:val="14"/>
        </w:rPr>
        <w:t>– We are providing the services and deliverables solely for your use and benefit for the purpose set out in the engagement letter or the relevant deliverable. You may not disclose a deliverable or make the benefit of the services available to anyone else or refer to the contents of a deliverable or the findings of our work, except (i) as permitted in the engagement letter, (ii) with our prior written consent on terms to be agreed, (iii) where required by law or regulation, or (iv) to your lawyers or group members as long as you tell them, in advance, that we accept no liability to them and that no onward disclosure is permitted.</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Changes </w:t>
      </w:r>
      <w:r>
        <w:rPr>
          <w:rFonts w:ascii="Playfair Display" w:eastAsia="Playfair Display" w:hAnsi="Playfair Display" w:cs="Playfair Display"/>
          <w:sz w:val="14"/>
          <w:szCs w:val="14"/>
        </w:rPr>
        <w:t>– Either we or you may request a change to the services, deliverables or this Agreement. Any change will be effective only when agreed in writing.</w:t>
      </w:r>
    </w:p>
    <w:p w:rsidR="00BF1F86" w:rsidRDefault="00000000">
      <w:pPr>
        <w:pStyle w:val="Heading2"/>
        <w:keepNext w:val="0"/>
        <w:keepLines w:val="0"/>
        <w:widowControl w:val="0"/>
        <w:numPr>
          <w:ilvl w:val="0"/>
          <w:numId w:val="1"/>
        </w:numPr>
        <w:ind w:left="360" w:hanging="360"/>
      </w:pPr>
      <w:r>
        <w:t>Service providers and subcontractors</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Service Providers, Subcontractors </w:t>
      </w:r>
      <w:r>
        <w:rPr>
          <w:rFonts w:ascii="Playfair Display" w:eastAsia="Playfair Display" w:hAnsi="Playfair Display" w:cs="Playfair Display"/>
          <w:sz w:val="14"/>
          <w:szCs w:val="14"/>
        </w:rPr>
        <w:t>– We may use service providers or subcontractors to provide the services and support service delivery. We remain solely responsible for the services and deliverables.</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Restriction on claims </w:t>
      </w:r>
      <w:r>
        <w:rPr>
          <w:rFonts w:ascii="Playfair Display" w:eastAsia="Playfair Display" w:hAnsi="Playfair Display" w:cs="Playfair Display"/>
          <w:sz w:val="14"/>
          <w:szCs w:val="14"/>
        </w:rPr>
        <w:t>– You agree not to bring any claim or action against our subcontractors in respect of any liability relating to the services or the Agreement.</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Group members </w:t>
      </w:r>
      <w:r>
        <w:rPr>
          <w:rFonts w:ascii="Playfair Display" w:eastAsia="Playfair Display" w:hAnsi="Playfair Display" w:cs="Playfair Display"/>
          <w:sz w:val="14"/>
          <w:szCs w:val="14"/>
        </w:rPr>
        <w:t>– You will ensure that no subsidiary, affiliate, parent, associated entity or holding company (unless a party to the Agreement), both while they are a group member and thereafter, brings any claim or action against us or our subcontractors in respect of any liability relating to the services, deliverables or the Agreement.</w:t>
      </w:r>
    </w:p>
    <w:p w:rsidR="00BF1F86" w:rsidRDefault="00000000">
      <w:pPr>
        <w:pStyle w:val="Heading2"/>
        <w:keepNext w:val="0"/>
        <w:keepLines w:val="0"/>
        <w:widowControl w:val="0"/>
        <w:numPr>
          <w:ilvl w:val="0"/>
          <w:numId w:val="1"/>
        </w:numPr>
        <w:ind w:left="360" w:hanging="360"/>
      </w:pPr>
      <w:r>
        <w:t>Your responsibilities</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Your obligations </w:t>
      </w:r>
      <w:r>
        <w:rPr>
          <w:rFonts w:ascii="Playfair Display" w:eastAsia="Playfair Display" w:hAnsi="Playfair Display" w:cs="Playfair Display"/>
          <w:sz w:val="14"/>
          <w:szCs w:val="14"/>
        </w:rPr>
        <w:t xml:space="preserve">– The performance of our services and </w:t>
      </w:r>
      <w:r>
        <w:rPr>
          <w:rFonts w:ascii="Playfair Display" w:eastAsia="Playfair Display" w:hAnsi="Playfair Display" w:cs="Playfair Display"/>
          <w:sz w:val="14"/>
          <w:szCs w:val="14"/>
        </w:rPr>
        <w:t>provision of the deliverables depends on you performing your obligations under the Agreement. We are not responsible for any consequences arising from you not fulfilling your obligations.</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Information </w:t>
      </w:r>
      <w:r>
        <w:rPr>
          <w:rFonts w:ascii="Playfair Display" w:eastAsia="Playfair Display" w:hAnsi="Playfair Display" w:cs="Playfair Display"/>
          <w:sz w:val="14"/>
          <w:szCs w:val="14"/>
        </w:rPr>
        <w:t>– In order for us to advise you properly you will make sure that (i) any information given to us by you, or anyone else working with or for you, is (a) given promptly, (b) accurate and (c) complete; and (ii) any assumptions are appropriate. We will not verify any information given to us relating to the services.</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Oral advice and draft deliverables </w:t>
      </w:r>
      <w:r>
        <w:rPr>
          <w:rFonts w:ascii="Playfair Display" w:eastAsia="Playfair Display" w:hAnsi="Playfair Display" w:cs="Playfair Display"/>
          <w:sz w:val="14"/>
          <w:szCs w:val="14"/>
        </w:rPr>
        <w:t>– You may rely on our final written deliverables, but should not rely on oral advice or draft deliverables provided during the term of this Agreement. If you wish to rely on something we have said to you, please let us know and if practical, we will prepare a written deliverable on which you may rely.</w:t>
      </w:r>
    </w:p>
    <w:p w:rsidR="00BF1F86" w:rsidRDefault="00000000">
      <w:pPr>
        <w:pStyle w:val="Heading2"/>
        <w:keepNext w:val="0"/>
        <w:keepLines w:val="0"/>
        <w:widowControl w:val="0"/>
        <w:numPr>
          <w:ilvl w:val="0"/>
          <w:numId w:val="1"/>
        </w:numPr>
        <w:ind w:left="360" w:hanging="360"/>
      </w:pPr>
      <w:r>
        <w:t>Confidentiality</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Confidential information </w:t>
      </w:r>
      <w:r>
        <w:rPr>
          <w:rFonts w:ascii="Playfair Display" w:eastAsia="Playfair Display" w:hAnsi="Playfair Display" w:cs="Playfair Display"/>
          <w:sz w:val="14"/>
          <w:szCs w:val="14"/>
        </w:rPr>
        <w:t>– We and you agree to use the other party’s confidential information, if any, only in relation to the services or internal, administrative purposes and to take reasonable steps to prevent disclosure, recognizing that disclosure will be permitted where required by law or regulation. You agree that we may give confidential information to service providers and subcontractors as long as they are bound by reasonable confidentiality obligations.</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Referring to you and the services </w:t>
      </w:r>
      <w:r>
        <w:rPr>
          <w:rFonts w:ascii="Playfair Display" w:eastAsia="Playfair Display" w:hAnsi="Playfair Display" w:cs="Playfair Display"/>
          <w:sz w:val="14"/>
          <w:szCs w:val="14"/>
        </w:rPr>
        <w:t>– We may wish to refer to you and the services we have performed for you when marketing our services. You agree that we may do so, as long as we do not disclose your confidential information.</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Performing services for others </w:t>
      </w:r>
      <w:r>
        <w:rPr>
          <w:rFonts w:ascii="Playfair Display" w:eastAsia="Playfair Display" w:hAnsi="Playfair Display" w:cs="Playfair Display"/>
          <w:sz w:val="14"/>
          <w:szCs w:val="14"/>
        </w:rPr>
        <w:t>– You agree that we may perform services for your competitors or other parties whose interests may conflict with yours, as long as we do not disclose your confidential information and we comply with our ethical obligations.</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Benchmarking </w:t>
      </w:r>
      <w:r>
        <w:rPr>
          <w:rFonts w:ascii="Playfair Display" w:eastAsia="Playfair Display" w:hAnsi="Playfair Display" w:cs="Playfair Display"/>
          <w:sz w:val="14"/>
          <w:szCs w:val="14"/>
        </w:rPr>
        <w:t>– From time to time we may offer our clients, like you, the service of benchmarking your business against other businesses in your industry, and providing you with the results of such comparison. Your information, together with the information from other businesses in your industry, may be used in such benchmarking studies, but will always be pooled with information from such other businesses, so that no one will be able to identify or reverse engineer any of your personal or confidential information. You consent to our use and disclosure of your information, in aggregate form, for benchmarking purposes.</w:t>
      </w:r>
    </w:p>
    <w:p w:rsidR="00BF1F86" w:rsidRDefault="00000000">
      <w:pPr>
        <w:pStyle w:val="Heading2"/>
        <w:keepNext w:val="0"/>
        <w:keepLines w:val="0"/>
        <w:widowControl w:val="0"/>
        <w:numPr>
          <w:ilvl w:val="0"/>
          <w:numId w:val="1"/>
        </w:numPr>
        <w:ind w:left="360" w:hanging="360"/>
      </w:pPr>
      <w:r>
        <w:t>Third party request for information</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Information request </w:t>
      </w:r>
      <w:r>
        <w:rPr>
          <w:rFonts w:ascii="Playfair Display" w:eastAsia="Playfair Display" w:hAnsi="Playfair Display" w:cs="Playfair Display"/>
          <w:sz w:val="14"/>
          <w:szCs w:val="14"/>
        </w:rPr>
        <w:t>– In the event we receive a request from a third party (including a demand from a regulatory authority, subpoena or summons) for information, we will promptly notify you, where not prohibited by law or other authority.</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Privileged information </w:t>
      </w:r>
      <w:r>
        <w:rPr>
          <w:rFonts w:ascii="Playfair Display" w:eastAsia="Playfair Display" w:hAnsi="Playfair Display" w:cs="Playfair Display"/>
          <w:sz w:val="14"/>
          <w:szCs w:val="14"/>
        </w:rPr>
        <w:t>– Except where providing working papers is required by the laws of any jurisdiction that you or we are governed by, we will use all reasonable efforts to refuse access to any document over which you have expressly informed us that you assert privilege. You must mark any document over which you assert privilege as “PRIVILEGED”.</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Reimbursement of costs incurred </w:t>
      </w:r>
      <w:r>
        <w:rPr>
          <w:rFonts w:ascii="Playfair Display" w:eastAsia="Playfair Display" w:hAnsi="Playfair Display" w:cs="Playfair Display"/>
          <w:sz w:val="14"/>
          <w:szCs w:val="14"/>
        </w:rPr>
        <w:t xml:space="preserve">– You agree to reimburse us for our professional time and expenses, as well as the fees and expenses of our legal counsel, incurred by us in responding to any investigation that is requested or authorized by you or of you required by government regulation, regulatory agency, subpoena or other legal </w:t>
      </w:r>
      <w:r>
        <w:rPr>
          <w:rFonts w:ascii="Playfair Display" w:eastAsia="Playfair Display" w:hAnsi="Playfair Display" w:cs="Playfair Display"/>
          <w:sz w:val="14"/>
          <w:szCs w:val="14"/>
        </w:rPr>
        <w:lastRenderedPageBreak/>
        <w:t>process, including any request to produce our deliverables, working papers or our personnel as witnesses with respect  to our engagement with you.</w:t>
      </w:r>
    </w:p>
    <w:p w:rsidR="00BF1F86" w:rsidRDefault="00000000">
      <w:pPr>
        <w:pStyle w:val="Heading2"/>
        <w:keepNext w:val="0"/>
        <w:keepLines w:val="0"/>
        <w:widowControl w:val="0"/>
        <w:numPr>
          <w:ilvl w:val="0"/>
          <w:numId w:val="1"/>
        </w:numPr>
        <w:tabs>
          <w:tab w:val="left" w:pos="2224"/>
        </w:tabs>
        <w:ind w:left="360" w:hanging="360"/>
      </w:pPr>
      <w:r>
        <w:t>Personal or protected information</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Personal information </w:t>
      </w:r>
      <w:r>
        <w:rPr>
          <w:rFonts w:ascii="Playfair Display" w:eastAsia="Playfair Display" w:hAnsi="Playfair Display" w:cs="Playfair Display"/>
          <w:sz w:val="14"/>
          <w:szCs w:val="14"/>
        </w:rPr>
        <w:t>– We may collect, use, disclose, transfer, store or otherwise process information about identified individuals (personal information) to provide the services and deliverables. We may process such personal information in various jurisdictions in which we, service providers and subcontractors operate and, as such, personal information may be subject to the laws of such jurisdiction. Such personal information will be at all times processed in accordance with the applicable laws and professional regulation. In addition, we will require any service providers that process personal information on our behalf to adhere to such requirements. You confirm that you have the authority to provide the personal information to us in connection with the performance of services and that the personal information provided to us has been provided in accordance with applicable law.</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Protected information </w:t>
      </w:r>
      <w:r>
        <w:rPr>
          <w:rFonts w:ascii="Playfair Display" w:eastAsia="Playfair Display" w:hAnsi="Playfair Display" w:cs="Playfair Display"/>
          <w:sz w:val="14"/>
          <w:szCs w:val="14"/>
        </w:rPr>
        <w:t>– As certain countries may have strict laws around data protection, where applicable, the risks of exporting or disclosing certain categories of sensitive data need to be assessed and managed by you appropriately. You will also advise us in writing immediately if any software, information, or other materials that may be accessed by us in performing the services constitute controlled goods or controlled technology under the federal or state laws of the United States of America, or subject to any export controls.</w:t>
      </w:r>
    </w:p>
    <w:p w:rsidR="00BF1F86" w:rsidRDefault="00000000">
      <w:pPr>
        <w:pStyle w:val="Heading2"/>
        <w:keepNext w:val="0"/>
        <w:keepLines w:val="0"/>
        <w:widowControl w:val="0"/>
        <w:numPr>
          <w:ilvl w:val="0"/>
          <w:numId w:val="1"/>
        </w:numPr>
        <w:tabs>
          <w:tab w:val="left" w:pos="2158"/>
        </w:tabs>
        <w:ind w:left="360" w:hanging="360"/>
      </w:pPr>
      <w:r>
        <w:t>Intellectual property rights</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Intellectual Property </w:t>
      </w:r>
      <w:r>
        <w:rPr>
          <w:rFonts w:ascii="Playfair Display" w:eastAsia="Playfair Display" w:hAnsi="Playfair Display" w:cs="Playfair Display"/>
          <w:sz w:val="14"/>
          <w:szCs w:val="14"/>
        </w:rPr>
        <w:t>– You will own all deliverables except as follows: we retain ownership in our working papers, pre-existing materials and any general skills, know-how, processes, or other intellectual property (including a non client specific version of any deliverables) which we may have discovered or created as a result of the services. You have a non-exclusive, non-transferable license to use such materials included in the deliverables for your own internal use as part of such deliverables.</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Working Papers </w:t>
      </w:r>
      <w:r>
        <w:rPr>
          <w:rFonts w:ascii="Playfair Display" w:eastAsia="Playfair Display" w:hAnsi="Playfair Display" w:cs="Playfair Display"/>
          <w:sz w:val="14"/>
          <w:szCs w:val="14"/>
        </w:rPr>
        <w:t>– Any working papers and internal documentation prepared by us or for us in connection with this Agreement belongs to us.</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Retention </w:t>
      </w:r>
      <w:r>
        <w:rPr>
          <w:rFonts w:ascii="Playfair Display" w:eastAsia="Playfair Display" w:hAnsi="Playfair Display" w:cs="Playfair Display"/>
          <w:sz w:val="14"/>
          <w:szCs w:val="14"/>
        </w:rPr>
        <w:t>– We will retain copies of all materials relevant to the services, including any materials given to us by you or on your behalf, to enable us to maintain a professional record of our involvement</w:t>
      </w:r>
    </w:p>
    <w:p w:rsidR="00BF1F86" w:rsidRDefault="00000000">
      <w:pPr>
        <w:pStyle w:val="Heading2"/>
        <w:keepNext w:val="0"/>
        <w:keepLines w:val="0"/>
        <w:widowControl w:val="0"/>
        <w:numPr>
          <w:ilvl w:val="0"/>
          <w:numId w:val="1"/>
        </w:numPr>
        <w:ind w:left="360" w:hanging="360"/>
      </w:pPr>
      <w:r>
        <w:t>Liability</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Limitations on liability </w:t>
      </w:r>
      <w:r>
        <w:rPr>
          <w:rFonts w:ascii="Playfair Display" w:eastAsia="Playfair Display" w:hAnsi="Playfair Display" w:cs="Playfair Display"/>
          <w:sz w:val="14"/>
          <w:szCs w:val="14"/>
        </w:rPr>
        <w:t>– Except to the extent finally determined to have resulted from our gross negligence or intentional misconduct, our aggregate liability for all claims, losses, liabilities or damages in connection with this Agreement or the services, whether as a result of breach of contract, tort (including negligence) or otherwise, regardless of the theory of liability asserted, is limited to no more than the total amount of fees paid to us for the particular service giving rise to the liability under this Agreement. In addition, we will not be liable in any event for lost profits, consequential, indirect, punitive, exemplary or special damages. Also, we shall have no liability arising from or relating to any third party hardware, software, information or materials selected or supplied by you.</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Indemnification </w:t>
      </w:r>
      <w:r>
        <w:rPr>
          <w:rFonts w:ascii="Playfair Display" w:eastAsia="Playfair Display" w:hAnsi="Playfair Display" w:cs="Playfair Display"/>
          <w:sz w:val="14"/>
          <w:szCs w:val="14"/>
        </w:rPr>
        <w:t xml:space="preserve">– You agree to indemnify and hold us and our </w:t>
      </w:r>
      <w:r>
        <w:rPr>
          <w:rFonts w:ascii="Playfair Display" w:eastAsia="Playfair Display" w:hAnsi="Playfair Display" w:cs="Playfair Display"/>
          <w:sz w:val="14"/>
          <w:szCs w:val="14"/>
        </w:rPr>
        <w:t>personnel harmless from and against any and all third party claims, losses, liabilities and damages arising from or relating to the services or deliverables under this Agreement, except to the extent finally determined to have resulted from our gross negligence or intentional misconduct relating to such services and/or deliverables.</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No claims against individuals </w:t>
      </w:r>
      <w:r>
        <w:rPr>
          <w:rFonts w:ascii="Playfair Display" w:eastAsia="Playfair Display" w:hAnsi="Playfair Display" w:cs="Playfair Display"/>
          <w:sz w:val="14"/>
          <w:szCs w:val="14"/>
        </w:rPr>
        <w:t>– You agree claims or actions relating to the services, deliverables and this Agreement shall be brought against us alone, and not against any individual.</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Unlimited liability </w:t>
      </w:r>
      <w:r>
        <w:rPr>
          <w:rFonts w:ascii="Playfair Display" w:eastAsia="Playfair Display" w:hAnsi="Playfair Display" w:cs="Playfair Display"/>
          <w:sz w:val="14"/>
          <w:szCs w:val="14"/>
        </w:rPr>
        <w:t>– Nothing in the Agreement will limit a person’s liability for (i) death or personal injury by that person’s negligence, (ii) that person’s fraud or (iii) anything else that cannot by law be limited.</w:t>
      </w:r>
    </w:p>
    <w:p w:rsidR="00BF1F86" w:rsidRDefault="00000000">
      <w:pPr>
        <w:pStyle w:val="Heading2"/>
        <w:keepNext w:val="0"/>
        <w:keepLines w:val="0"/>
        <w:widowControl w:val="0"/>
        <w:numPr>
          <w:ilvl w:val="0"/>
          <w:numId w:val="1"/>
        </w:numPr>
        <w:ind w:left="360" w:hanging="360"/>
      </w:pPr>
      <w:r>
        <w:t>Termination</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Right to terminate </w:t>
      </w:r>
      <w:r>
        <w:rPr>
          <w:rFonts w:ascii="Playfair Display" w:eastAsia="Playfair Display" w:hAnsi="Playfair Display" w:cs="Playfair Display"/>
          <w:sz w:val="14"/>
          <w:szCs w:val="14"/>
        </w:rPr>
        <w:t>– Either party may terminate this Agreement at any time upon written notice of such termination to the other party. We will not be liable for any loss, cost or expense arising from such termination.</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Fees payable on termination </w:t>
      </w:r>
      <w:r>
        <w:rPr>
          <w:rFonts w:ascii="Playfair Display" w:eastAsia="Playfair Display" w:hAnsi="Playfair Display" w:cs="Playfair Display"/>
          <w:sz w:val="14"/>
          <w:szCs w:val="14"/>
        </w:rPr>
        <w:t>– You agree to pay us for all services we perform and deliverables we provide up to the date of termination, including services performed, work-in-progress and expenses incurred.</w:t>
      </w:r>
    </w:p>
    <w:p w:rsidR="00BF1F86" w:rsidRDefault="00000000">
      <w:pPr>
        <w:pStyle w:val="Heading2"/>
        <w:keepNext w:val="0"/>
        <w:keepLines w:val="0"/>
        <w:widowControl w:val="0"/>
        <w:numPr>
          <w:ilvl w:val="0"/>
          <w:numId w:val="1"/>
        </w:numPr>
        <w:ind w:left="360" w:hanging="360"/>
      </w:pPr>
      <w:r>
        <w:t>Governing law</w:t>
      </w:r>
    </w:p>
    <w:p w:rsidR="00BF1F86" w:rsidRDefault="00000000">
      <w:pPr>
        <w:widowControl w:val="0"/>
        <w:numPr>
          <w:ilvl w:val="1"/>
          <w:numId w:val="1"/>
        </w:numPr>
        <w:spacing w:after="52" w:line="240" w:lineRule="auto"/>
        <w:ind w:left="360" w:hanging="360"/>
        <w:rPr>
          <w:sz w:val="14"/>
          <w:szCs w:val="14"/>
        </w:rPr>
      </w:pPr>
      <w:r>
        <w:rPr>
          <w:rFonts w:ascii="Playfair Display" w:eastAsia="Playfair Display" w:hAnsi="Playfair Display" w:cs="Playfair Display"/>
          <w:b/>
          <w:sz w:val="14"/>
          <w:szCs w:val="14"/>
        </w:rPr>
        <w:t xml:space="preserve">Law and jurisdiction </w:t>
      </w:r>
      <w:r>
        <w:rPr>
          <w:rFonts w:ascii="Playfair Display" w:eastAsia="Playfair Display" w:hAnsi="Playfair Display" w:cs="Playfair Display"/>
          <w:sz w:val="14"/>
          <w:szCs w:val="14"/>
        </w:rPr>
        <w:t>– The Agreement and any dispute arising from it, whether contractual or non-contractual, will be governed by the laws of the State of Delaware in the United States of America and is subject to the exclusive jurisdiction of the courts of the State of Delaware.</w:t>
      </w:r>
    </w:p>
    <w:p w:rsidR="00BF1F86" w:rsidRDefault="00000000">
      <w:pPr>
        <w:pStyle w:val="Heading2"/>
        <w:keepNext w:val="0"/>
        <w:keepLines w:val="0"/>
        <w:widowControl w:val="0"/>
        <w:numPr>
          <w:ilvl w:val="0"/>
          <w:numId w:val="1"/>
        </w:numPr>
        <w:pBdr>
          <w:top w:val="nil"/>
          <w:left w:val="nil"/>
          <w:bottom w:val="nil"/>
          <w:right w:val="nil"/>
          <w:between w:val="nil"/>
        </w:pBdr>
        <w:ind w:left="360" w:hanging="360"/>
      </w:pPr>
      <w:r>
        <w:t>General</w:t>
      </w:r>
    </w:p>
    <w:p w:rsidR="00BF1F86" w:rsidRDefault="00000000">
      <w:pPr>
        <w:widowControl w:val="0"/>
        <w:numPr>
          <w:ilvl w:val="1"/>
          <w:numId w:val="1"/>
        </w:numPr>
        <w:spacing w:after="52" w:line="24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 xml:space="preserve">Matters beyond reasonable control </w:t>
      </w:r>
      <w:r>
        <w:rPr>
          <w:rFonts w:ascii="Playfair Display" w:eastAsia="Playfair Display" w:hAnsi="Playfair Display" w:cs="Playfair Display"/>
          <w:sz w:val="14"/>
          <w:szCs w:val="14"/>
        </w:rPr>
        <w:t>– No party will be liable (other than payment obligations) to the other if it fails to meet its obligations due to matters beyond its reasonable control.</w:t>
      </w:r>
    </w:p>
    <w:p w:rsidR="00BF1F86" w:rsidRDefault="00000000">
      <w:pPr>
        <w:widowControl w:val="0"/>
        <w:numPr>
          <w:ilvl w:val="1"/>
          <w:numId w:val="1"/>
        </w:numPr>
        <w:spacing w:after="52" w:line="24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Entire Agreement</w:t>
      </w:r>
      <w:r>
        <w:rPr>
          <w:rFonts w:ascii="Playfair Display" w:eastAsia="Playfair Display" w:hAnsi="Playfair Display" w:cs="Playfair Display"/>
          <w:sz w:val="14"/>
          <w:szCs w:val="14"/>
        </w:rPr>
        <w:t xml:space="preserve"> – The Agreement, once executed by both parties, forms the entire Agreement between the parties in relation to the services and deliverables. It replaces any earlier Agreements, representations or discussions.</w:t>
      </w:r>
    </w:p>
    <w:p w:rsidR="00BF1F86" w:rsidRDefault="00000000">
      <w:pPr>
        <w:widowControl w:val="0"/>
        <w:numPr>
          <w:ilvl w:val="1"/>
          <w:numId w:val="1"/>
        </w:numPr>
        <w:spacing w:after="52" w:line="24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Your actions</w:t>
      </w:r>
      <w:r>
        <w:rPr>
          <w:rFonts w:ascii="Playfair Display" w:eastAsia="Playfair Display" w:hAnsi="Playfair Display" w:cs="Playfair Display"/>
          <w:sz w:val="14"/>
          <w:szCs w:val="14"/>
        </w:rPr>
        <w:t xml:space="preserve"> – Where you consist of more than one party, an act or omission of one party will be regarded as an act or omission of all.</w:t>
      </w:r>
    </w:p>
    <w:p w:rsidR="00BF1F86" w:rsidRDefault="00000000">
      <w:pPr>
        <w:widowControl w:val="0"/>
        <w:numPr>
          <w:ilvl w:val="1"/>
          <w:numId w:val="1"/>
        </w:numPr>
        <w:spacing w:after="52" w:line="24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Assignment</w:t>
      </w:r>
      <w:r>
        <w:rPr>
          <w:rFonts w:ascii="Playfair Display" w:eastAsia="Playfair Display" w:hAnsi="Playfair Display" w:cs="Playfair Display"/>
          <w:sz w:val="14"/>
          <w:szCs w:val="14"/>
        </w:rPr>
        <w:t xml:space="preserve"> – Without written consent, neither you nor we may assign any rights, obligations or claims under this Agreement. Any attempted assignment, delegation, or transfer without the necessary approval will be void. Notwithstanding the foregoing, for any StratMinds, Inc. acquisition, merger, consolidation, reorganization, or similar transaction, or any spin-off, divestiture, or other separation of a StratMinds, Inc. business, StratMinds, Inc. may, without the prior written consent of the other party: (i) assign its rights and obligations under this Agreement, in whole or in part, or (ii) split and assign its rights and obligations under this Agreement so as to retain the benefits of this Agreement for both StratMinds, Inc. and the assignee entity(ies) (and their respective Affiliates) following the split.</w:t>
      </w:r>
    </w:p>
    <w:p w:rsidR="00BF1F86" w:rsidRDefault="00000000">
      <w:pPr>
        <w:widowControl w:val="0"/>
        <w:numPr>
          <w:ilvl w:val="1"/>
          <w:numId w:val="1"/>
        </w:numPr>
        <w:spacing w:after="52" w:line="24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Survival</w:t>
      </w:r>
      <w:r>
        <w:rPr>
          <w:rFonts w:ascii="Playfair Display" w:eastAsia="Playfair Display" w:hAnsi="Playfair Display" w:cs="Playfair Display"/>
          <w:sz w:val="14"/>
          <w:szCs w:val="14"/>
        </w:rPr>
        <w:t xml:space="preserve"> – Any clause that is meant to continue to apply after termination of this Agreement will do so.</w:t>
      </w:r>
    </w:p>
    <w:p w:rsidR="00BF1F86" w:rsidRPr="00DD3805" w:rsidRDefault="00000000" w:rsidP="00DD3805">
      <w:pPr>
        <w:widowControl w:val="0"/>
        <w:numPr>
          <w:ilvl w:val="1"/>
          <w:numId w:val="1"/>
        </w:numPr>
        <w:spacing w:after="52" w:line="240" w:lineRule="auto"/>
        <w:ind w:left="360" w:hanging="360"/>
        <w:rPr>
          <w:rFonts w:ascii="Playfair Display" w:eastAsia="Playfair Display" w:hAnsi="Playfair Display" w:cs="Playfair Display"/>
          <w:sz w:val="14"/>
          <w:szCs w:val="14"/>
        </w:rPr>
      </w:pPr>
      <w:r>
        <w:rPr>
          <w:rFonts w:ascii="Playfair Display" w:eastAsia="Playfair Display" w:hAnsi="Playfair Display" w:cs="Playfair Display"/>
          <w:b/>
          <w:sz w:val="14"/>
          <w:szCs w:val="14"/>
        </w:rPr>
        <w:t>Severability</w:t>
      </w:r>
      <w:r>
        <w:rPr>
          <w:rFonts w:ascii="Playfair Display" w:eastAsia="Playfair Display" w:hAnsi="Playfair Display" w:cs="Playfair Display"/>
          <w:sz w:val="14"/>
          <w:szCs w:val="14"/>
        </w:rPr>
        <w:t xml:space="preserve"> – If a court or regulator with proper jurisdiction determines that a provision of this Agreement is invalid, then that provision will be interpreted in a way that is valid under applicable law or regulation. If any provision is invalid, the rest of this Agreement will remain effective.</w:t>
      </w:r>
    </w:p>
    <w:sectPr w:rsidR="00BF1F86" w:rsidRPr="00DD3805">
      <w:footerReference w:type="default" r:id="rId8"/>
      <w:headerReference w:type="first" r:id="rId9"/>
      <w:footerReference w:type="first" r:id="rId10"/>
      <w:pgSz w:w="12240" w:h="15840"/>
      <w:pgMar w:top="1440" w:right="1440" w:bottom="1440" w:left="1440" w:header="0" w:footer="720" w:gutter="0"/>
      <w:pgNumType w:start="1"/>
      <w:cols w:num="2" w:space="720" w:equalWidth="0">
        <w:col w:w="4320" w:space="720"/>
        <w:col w:w="432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B5DED" w:rsidRDefault="00FB5DED">
      <w:pPr>
        <w:spacing w:line="240" w:lineRule="auto"/>
      </w:pPr>
      <w:r>
        <w:separator/>
      </w:r>
    </w:p>
  </w:endnote>
  <w:endnote w:type="continuationSeparator" w:id="0">
    <w:p w:rsidR="00FB5DED" w:rsidRDefault="00FB5D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embedRegular r:id="rId1" w:fontKey="{30210F5E-2F74-554F-B679-55AC595E7F00}"/>
    <w:embedBold r:id="rId2" w:fontKey="{CF552E71-94B5-2343-98EC-F497426642F7}"/>
  </w:font>
  <w:font w:name="Times New Roman">
    <w:panose1 w:val="02020603050405020304"/>
    <w:charset w:val="00"/>
    <w:family w:val="roman"/>
    <w:pitch w:val="variable"/>
    <w:sig w:usb0="E0002EFF" w:usb1="C000785B" w:usb2="00000009" w:usb3="00000000" w:csb0="000001FF" w:csb1="00000000"/>
    <w:embedRegular r:id="rId3" w:fontKey="{10F31E30-F231-D24B-8622-2007A9855DA9}"/>
    <w:embedBoldItalic r:id="rId4" w:fontKey="{595BF06A-16E2-2643-A05E-FC52AF2AF7D1}"/>
  </w:font>
  <w:font w:name="Arial">
    <w:panose1 w:val="020B0604020202020204"/>
    <w:charset w:val="00"/>
    <w:family w:val="swiss"/>
    <w:pitch w:val="variable"/>
    <w:sig w:usb0="E0002AFF" w:usb1="C0007843" w:usb2="00000009" w:usb3="00000000" w:csb0="000001FF" w:csb1="00000000"/>
    <w:embedRegular r:id="rId5" w:fontKey="{3BD6495F-CE42-7940-9BA0-AB6C39EECDE0}"/>
    <w:embedItalic r:id="rId6" w:fontKey="{76359352-C56C-5048-906F-ECCE8467A845}"/>
  </w:font>
  <w:font w:name="Playfair Display">
    <w:panose1 w:val="00000500000000000000"/>
    <w:charset w:val="4D"/>
    <w:family w:val="auto"/>
    <w:pitch w:val="variable"/>
    <w:sig w:usb0="A00002FF" w:usb1="4000207A" w:usb2="00000000" w:usb3="00000000" w:csb0="00000097" w:csb1="00000000"/>
    <w:embedRegular r:id="rId7" w:fontKey="{34FB46E2-101B-B944-90D1-2D9F7741D93B}"/>
    <w:embedBold r:id="rId8" w:fontKey="{D0A68A88-EC01-494E-8E3F-35F21CE53C06}"/>
    <w:embedBoldItalic r:id="rId9" w:fontKey="{F98B4F49-46E5-B640-825A-FB16770D9C16}"/>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10" w:fontKey="{9A7095F9-D819-164D-92D4-053C25724163}"/>
  </w:font>
  <w:font w:name="Cambria">
    <w:panose1 w:val="02040503050406030204"/>
    <w:charset w:val="00"/>
    <w:family w:val="roman"/>
    <w:pitch w:val="variable"/>
    <w:sig w:usb0="E00002FF" w:usb1="400004FF" w:usb2="00000000" w:usb3="00000000" w:csb0="0000019F" w:csb1="00000000"/>
    <w:embedRegular r:id="rId11" w:fontKey="{CDFE605F-F77E-184E-A156-321775D3E7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F1F86" w:rsidRDefault="00BF1F86">
    <w:pPr>
      <w:rPr>
        <w:rFonts w:ascii="Playfair Display" w:eastAsia="Playfair Display" w:hAnsi="Playfair Display" w:cs="Playfair Display"/>
      </w:rPr>
    </w:pPr>
  </w:p>
  <w:p w:rsidR="00DD3805" w:rsidRDefault="00DD3805" w:rsidP="00DD3805">
    <w:pPr>
      <w:rPr>
        <w:rFonts w:ascii="Playfair Display" w:eastAsia="Playfair Display" w:hAnsi="Playfair Display" w:cs="Playfair Display"/>
      </w:rPr>
    </w:pPr>
  </w:p>
  <w:p w:rsidR="00BF1F86" w:rsidRPr="00DD3805" w:rsidRDefault="00DD3805" w:rsidP="00DD3805">
    <w:r>
      <w:rPr>
        <w:rFonts w:ascii="Playfair Display" w:eastAsia="Playfair Display" w:hAnsi="Playfair Display" w:cs="Playfair Display"/>
        <w:b/>
        <w:sz w:val="16"/>
        <w:szCs w:val="16"/>
      </w:rPr>
      <w:t>StratMinds, Inc.</w:t>
    </w:r>
    <w:r>
      <w:rPr>
        <w:rFonts w:ascii="Playfair Display" w:eastAsia="Playfair Display" w:hAnsi="Playfair Display" w:cs="Playfair Display"/>
        <w:sz w:val="16"/>
        <w:szCs w:val="16"/>
      </w:rPr>
      <w:t xml:space="preserve"> - Consulting Terms of Business, January 2025</w:t>
    </w:r>
    <w:r>
      <w:rPr>
        <w:rFonts w:ascii="Playfair Display" w:eastAsia="Playfair Display" w:hAnsi="Playfair Display" w:cs="Playfair Display"/>
        <w:sz w:val="16"/>
        <w:szCs w:val="16"/>
      </w:rPr>
      <w:tab/>
    </w:r>
    <w:r>
      <w:rPr>
        <w:rFonts w:ascii="Playfair Display" w:eastAsia="Playfair Display" w:hAnsi="Playfair Display" w:cs="Playfair Display"/>
        <w:sz w:val="16"/>
        <w:szCs w:val="16"/>
      </w:rPr>
      <w:tab/>
    </w:r>
    <w:r>
      <w:rPr>
        <w:rFonts w:ascii="Playfair Display" w:eastAsia="Playfair Display" w:hAnsi="Playfair Display" w:cs="Playfair Display"/>
        <w:sz w:val="16"/>
        <w:szCs w:val="16"/>
      </w:rPr>
      <w:tab/>
    </w:r>
    <w:r>
      <w:rPr>
        <w:rFonts w:ascii="Playfair Display" w:eastAsia="Playfair Display" w:hAnsi="Playfair Display" w:cs="Playfair Display"/>
        <w:sz w:val="16"/>
        <w:szCs w:val="16"/>
      </w:rPr>
      <w:tab/>
    </w:r>
    <w:r>
      <w:rPr>
        <w:rFonts w:ascii="Playfair Display" w:eastAsia="Playfair Display" w:hAnsi="Playfair Display" w:cs="Playfair Display"/>
        <w:sz w:val="16"/>
        <w:szCs w:val="16"/>
      </w:rPr>
      <w:tab/>
    </w:r>
    <w:r>
      <w:rPr>
        <w:rFonts w:ascii="Playfair Display" w:eastAsia="Playfair Display" w:hAnsi="Playfair Display" w:cs="Playfair Display"/>
        <w:sz w:val="16"/>
        <w:szCs w:val="16"/>
      </w:rPr>
      <w:tab/>
      <w:t xml:space="preserve">        </w:t>
    </w:r>
    <w:r>
      <w:rPr>
        <w:rFonts w:ascii="Playfair Display" w:eastAsia="Playfair Display" w:hAnsi="Playfair Display" w:cs="Playfair Display"/>
        <w:sz w:val="16"/>
        <w:szCs w:val="16"/>
      </w:rPr>
      <w:fldChar w:fldCharType="begin"/>
    </w:r>
    <w:r>
      <w:rPr>
        <w:rFonts w:ascii="Playfair Display" w:eastAsia="Playfair Display" w:hAnsi="Playfair Display" w:cs="Playfair Display"/>
        <w:sz w:val="16"/>
        <w:szCs w:val="16"/>
      </w:rPr>
      <w:instrText>PAGE</w:instrText>
    </w:r>
    <w:r>
      <w:rPr>
        <w:rFonts w:ascii="Playfair Display" w:eastAsia="Playfair Display" w:hAnsi="Playfair Display" w:cs="Playfair Display"/>
        <w:sz w:val="16"/>
        <w:szCs w:val="16"/>
      </w:rPr>
      <w:fldChar w:fldCharType="separate"/>
    </w:r>
    <w:r>
      <w:rPr>
        <w:rFonts w:ascii="Playfair Display" w:eastAsia="Playfair Display" w:hAnsi="Playfair Display" w:cs="Playfair Display"/>
        <w:sz w:val="16"/>
        <w:szCs w:val="16"/>
      </w:rPr>
      <w:t>1</w:t>
    </w:r>
    <w:r>
      <w:rPr>
        <w:rFonts w:ascii="Playfair Display" w:eastAsia="Playfair Display" w:hAnsi="Playfair Display" w:cs="Playfair Display"/>
        <w:sz w:val="16"/>
        <w:szCs w:val="16"/>
      </w:rPr>
      <w:fldChar w:fldCharType="end"/>
    </w:r>
    <w:r>
      <w:rPr>
        <w:rFonts w:ascii="Playfair Display" w:eastAsia="Playfair Display" w:hAnsi="Playfair Display" w:cs="Playfair Display"/>
        <w:sz w:val="16"/>
        <w:szCs w:val="16"/>
      </w:rPr>
      <w:t xml:space="preserve"> of </w:t>
    </w:r>
    <w:r>
      <w:rPr>
        <w:rFonts w:ascii="Playfair Display" w:eastAsia="Playfair Display" w:hAnsi="Playfair Display" w:cs="Playfair Display"/>
        <w:sz w:val="16"/>
        <w:szCs w:val="16"/>
      </w:rPr>
      <w:fldChar w:fldCharType="begin"/>
    </w:r>
    <w:r>
      <w:rPr>
        <w:rFonts w:ascii="Playfair Display" w:eastAsia="Playfair Display" w:hAnsi="Playfair Display" w:cs="Playfair Display"/>
        <w:sz w:val="16"/>
        <w:szCs w:val="16"/>
      </w:rPr>
      <w:instrText>NUMPAGES</w:instrText>
    </w:r>
    <w:r>
      <w:rPr>
        <w:rFonts w:ascii="Playfair Display" w:eastAsia="Playfair Display" w:hAnsi="Playfair Display" w:cs="Playfair Display"/>
        <w:sz w:val="16"/>
        <w:szCs w:val="16"/>
      </w:rPr>
      <w:fldChar w:fldCharType="separate"/>
    </w:r>
    <w:r>
      <w:rPr>
        <w:rFonts w:ascii="Playfair Display" w:eastAsia="Playfair Display" w:hAnsi="Playfair Display" w:cs="Playfair Display"/>
        <w:sz w:val="16"/>
        <w:szCs w:val="16"/>
      </w:rPr>
      <w:t>3</w:t>
    </w:r>
    <w:r>
      <w:rPr>
        <w:rFonts w:ascii="Playfair Display" w:eastAsia="Playfair Display" w:hAnsi="Playfair Display" w:cs="Playfair Display"/>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F1F86" w:rsidRDefault="00BF1F86">
    <w:pPr>
      <w:rPr>
        <w:rFonts w:ascii="Playfair Display" w:eastAsia="Playfair Display" w:hAnsi="Playfair Display" w:cs="Playfair Display"/>
      </w:rPr>
    </w:pPr>
  </w:p>
  <w:p w:rsidR="00BF1F86" w:rsidRDefault="00000000">
    <w:r>
      <w:rPr>
        <w:rFonts w:ascii="Playfair Display" w:eastAsia="Playfair Display" w:hAnsi="Playfair Display" w:cs="Playfair Display"/>
        <w:b/>
        <w:sz w:val="16"/>
        <w:szCs w:val="16"/>
      </w:rPr>
      <w:t>StratMinds, Inc.</w:t>
    </w:r>
    <w:r>
      <w:rPr>
        <w:rFonts w:ascii="Playfair Display" w:eastAsia="Playfair Display" w:hAnsi="Playfair Display" w:cs="Playfair Display"/>
        <w:sz w:val="16"/>
        <w:szCs w:val="16"/>
      </w:rPr>
      <w:t xml:space="preserve"> - Consulting Terms of Business, </w:t>
    </w:r>
    <w:r w:rsidR="00DD3805">
      <w:rPr>
        <w:rFonts w:ascii="Playfair Display" w:eastAsia="Playfair Display" w:hAnsi="Playfair Display" w:cs="Playfair Display"/>
        <w:sz w:val="16"/>
        <w:szCs w:val="16"/>
      </w:rPr>
      <w:t>January</w:t>
    </w:r>
    <w:r>
      <w:rPr>
        <w:rFonts w:ascii="Playfair Display" w:eastAsia="Playfair Display" w:hAnsi="Playfair Display" w:cs="Playfair Display"/>
        <w:sz w:val="16"/>
        <w:szCs w:val="16"/>
      </w:rPr>
      <w:t xml:space="preserve"> 20</w:t>
    </w:r>
    <w:r w:rsidR="00DD3805">
      <w:rPr>
        <w:rFonts w:ascii="Playfair Display" w:eastAsia="Playfair Display" w:hAnsi="Playfair Display" w:cs="Playfair Display"/>
        <w:sz w:val="16"/>
        <w:szCs w:val="16"/>
      </w:rPr>
      <w:t>25</w:t>
    </w:r>
    <w:r>
      <w:rPr>
        <w:rFonts w:ascii="Playfair Display" w:eastAsia="Playfair Display" w:hAnsi="Playfair Display" w:cs="Playfair Display"/>
        <w:sz w:val="16"/>
        <w:szCs w:val="16"/>
      </w:rPr>
      <w:tab/>
    </w:r>
    <w:r>
      <w:rPr>
        <w:rFonts w:ascii="Playfair Display" w:eastAsia="Playfair Display" w:hAnsi="Playfair Display" w:cs="Playfair Display"/>
        <w:sz w:val="16"/>
        <w:szCs w:val="16"/>
      </w:rPr>
      <w:tab/>
    </w:r>
    <w:r>
      <w:rPr>
        <w:rFonts w:ascii="Playfair Display" w:eastAsia="Playfair Display" w:hAnsi="Playfair Display" w:cs="Playfair Display"/>
        <w:sz w:val="16"/>
        <w:szCs w:val="16"/>
      </w:rPr>
      <w:tab/>
    </w:r>
    <w:r>
      <w:rPr>
        <w:rFonts w:ascii="Playfair Display" w:eastAsia="Playfair Display" w:hAnsi="Playfair Display" w:cs="Playfair Display"/>
        <w:sz w:val="16"/>
        <w:szCs w:val="16"/>
      </w:rPr>
      <w:tab/>
    </w:r>
    <w:r>
      <w:rPr>
        <w:rFonts w:ascii="Playfair Display" w:eastAsia="Playfair Display" w:hAnsi="Playfair Display" w:cs="Playfair Display"/>
        <w:sz w:val="16"/>
        <w:szCs w:val="16"/>
      </w:rPr>
      <w:tab/>
    </w:r>
    <w:r>
      <w:rPr>
        <w:rFonts w:ascii="Playfair Display" w:eastAsia="Playfair Display" w:hAnsi="Playfair Display" w:cs="Playfair Display"/>
        <w:sz w:val="16"/>
        <w:szCs w:val="16"/>
      </w:rPr>
      <w:tab/>
      <w:t xml:space="preserve">        </w:t>
    </w:r>
    <w:r>
      <w:rPr>
        <w:rFonts w:ascii="Playfair Display" w:eastAsia="Playfair Display" w:hAnsi="Playfair Display" w:cs="Playfair Display"/>
        <w:sz w:val="16"/>
        <w:szCs w:val="16"/>
      </w:rPr>
      <w:fldChar w:fldCharType="begin"/>
    </w:r>
    <w:r>
      <w:rPr>
        <w:rFonts w:ascii="Playfair Display" w:eastAsia="Playfair Display" w:hAnsi="Playfair Display" w:cs="Playfair Display"/>
        <w:sz w:val="16"/>
        <w:szCs w:val="16"/>
      </w:rPr>
      <w:instrText>PAGE</w:instrText>
    </w:r>
    <w:r>
      <w:rPr>
        <w:rFonts w:ascii="Playfair Display" w:eastAsia="Playfair Display" w:hAnsi="Playfair Display" w:cs="Playfair Display"/>
        <w:sz w:val="16"/>
        <w:szCs w:val="16"/>
      </w:rPr>
      <w:fldChar w:fldCharType="separate"/>
    </w:r>
    <w:r w:rsidR="00DD3805">
      <w:rPr>
        <w:rFonts w:ascii="Playfair Display" w:eastAsia="Playfair Display" w:hAnsi="Playfair Display" w:cs="Playfair Display"/>
        <w:noProof/>
        <w:sz w:val="16"/>
        <w:szCs w:val="16"/>
      </w:rPr>
      <w:t>1</w:t>
    </w:r>
    <w:r>
      <w:rPr>
        <w:rFonts w:ascii="Playfair Display" w:eastAsia="Playfair Display" w:hAnsi="Playfair Display" w:cs="Playfair Display"/>
        <w:sz w:val="16"/>
        <w:szCs w:val="16"/>
      </w:rPr>
      <w:fldChar w:fldCharType="end"/>
    </w:r>
    <w:r>
      <w:rPr>
        <w:rFonts w:ascii="Playfair Display" w:eastAsia="Playfair Display" w:hAnsi="Playfair Display" w:cs="Playfair Display"/>
        <w:sz w:val="16"/>
        <w:szCs w:val="16"/>
      </w:rPr>
      <w:t xml:space="preserve"> of </w:t>
    </w:r>
    <w:r>
      <w:rPr>
        <w:rFonts w:ascii="Playfair Display" w:eastAsia="Playfair Display" w:hAnsi="Playfair Display" w:cs="Playfair Display"/>
        <w:sz w:val="16"/>
        <w:szCs w:val="16"/>
      </w:rPr>
      <w:fldChar w:fldCharType="begin"/>
    </w:r>
    <w:r>
      <w:rPr>
        <w:rFonts w:ascii="Playfair Display" w:eastAsia="Playfair Display" w:hAnsi="Playfair Display" w:cs="Playfair Display"/>
        <w:sz w:val="16"/>
        <w:szCs w:val="16"/>
      </w:rPr>
      <w:instrText>NUMPAGES</w:instrText>
    </w:r>
    <w:r>
      <w:rPr>
        <w:rFonts w:ascii="Playfair Display" w:eastAsia="Playfair Display" w:hAnsi="Playfair Display" w:cs="Playfair Display"/>
        <w:sz w:val="16"/>
        <w:szCs w:val="16"/>
      </w:rPr>
      <w:fldChar w:fldCharType="separate"/>
    </w:r>
    <w:r w:rsidR="00DD3805">
      <w:rPr>
        <w:rFonts w:ascii="Playfair Display" w:eastAsia="Playfair Display" w:hAnsi="Playfair Display" w:cs="Playfair Display"/>
        <w:noProof/>
        <w:sz w:val="16"/>
        <w:szCs w:val="16"/>
      </w:rPr>
      <w:t>2</w:t>
    </w:r>
    <w:r>
      <w:rPr>
        <w:rFonts w:ascii="Playfair Display" w:eastAsia="Playfair Display" w:hAnsi="Playfair Display" w:cs="Playfair Display"/>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B5DED" w:rsidRDefault="00FB5DED">
      <w:pPr>
        <w:spacing w:line="240" w:lineRule="auto"/>
      </w:pPr>
      <w:r>
        <w:separator/>
      </w:r>
    </w:p>
  </w:footnote>
  <w:footnote w:type="continuationSeparator" w:id="0">
    <w:p w:rsidR="00FB5DED" w:rsidRDefault="00FB5D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F1F86" w:rsidRDefault="00BF1F86">
    <w:pPr>
      <w:rPr>
        <w:rFonts w:ascii="Playfair Display" w:eastAsia="Playfair Display" w:hAnsi="Playfair Display" w:cs="Playfair Display"/>
      </w:rPr>
    </w:pPr>
  </w:p>
  <w:p w:rsidR="00BF1F86" w:rsidRDefault="00BF1F86">
    <w:pPr>
      <w:rPr>
        <w:rFonts w:ascii="Playfair Display" w:eastAsia="Playfair Display" w:hAnsi="Playfair Display" w:cs="Playfair Display"/>
      </w:rPr>
    </w:pPr>
  </w:p>
  <w:p w:rsidR="00BF1F86" w:rsidRDefault="00000000">
    <w:pPr>
      <w:rPr>
        <w:rFonts w:ascii="Playfair Display" w:eastAsia="Playfair Display" w:hAnsi="Playfair Display" w:cs="Playfair Display"/>
        <w:sz w:val="48"/>
        <w:szCs w:val="48"/>
      </w:rPr>
    </w:pPr>
    <w:r>
      <w:rPr>
        <w:rFonts w:ascii="Playfair Display" w:eastAsia="Playfair Display" w:hAnsi="Playfair Display" w:cs="Playfair Display"/>
        <w:sz w:val="48"/>
        <w:szCs w:val="48"/>
      </w:rPr>
      <w:t>Terms of business</w:t>
    </w:r>
  </w:p>
  <w:p w:rsidR="00BF1F86" w:rsidRDefault="00BF1F86">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6F3B00"/>
    <w:multiLevelType w:val="multilevel"/>
    <w:tmpl w:val="681691F2"/>
    <w:lvl w:ilvl="0">
      <w:start w:val="1"/>
      <w:numFmt w:val="decimal"/>
      <w:lvlText w:val="%1"/>
      <w:lvlJc w:val="left"/>
      <w:pPr>
        <w:ind w:left="704" w:hanging="567"/>
      </w:pPr>
      <w:rPr>
        <w:rFonts w:ascii="Georgia" w:eastAsia="Georgia" w:hAnsi="Georgia" w:cs="Georgia"/>
        <w:b/>
        <w:sz w:val="18"/>
        <w:szCs w:val="18"/>
      </w:rPr>
    </w:lvl>
    <w:lvl w:ilvl="1">
      <w:numFmt w:val="bullet"/>
      <w:lvlText w:val="•"/>
      <w:lvlJc w:val="left"/>
      <w:pPr>
        <w:ind w:left="1164" w:hanging="567"/>
      </w:pPr>
    </w:lvl>
    <w:lvl w:ilvl="2">
      <w:numFmt w:val="bullet"/>
      <w:lvlText w:val="•"/>
      <w:lvlJc w:val="left"/>
      <w:pPr>
        <w:ind w:left="1629" w:hanging="567"/>
      </w:pPr>
    </w:lvl>
    <w:lvl w:ilvl="3">
      <w:numFmt w:val="bullet"/>
      <w:lvlText w:val="•"/>
      <w:lvlJc w:val="left"/>
      <w:pPr>
        <w:ind w:left="2093" w:hanging="566"/>
      </w:pPr>
    </w:lvl>
    <w:lvl w:ilvl="4">
      <w:numFmt w:val="bullet"/>
      <w:lvlText w:val="•"/>
      <w:lvlJc w:val="left"/>
      <w:pPr>
        <w:ind w:left="2558" w:hanging="566"/>
      </w:pPr>
    </w:lvl>
    <w:lvl w:ilvl="5">
      <w:numFmt w:val="bullet"/>
      <w:lvlText w:val="•"/>
      <w:lvlJc w:val="left"/>
      <w:pPr>
        <w:ind w:left="3023" w:hanging="567"/>
      </w:pPr>
    </w:lvl>
    <w:lvl w:ilvl="6">
      <w:numFmt w:val="bullet"/>
      <w:lvlText w:val="•"/>
      <w:lvlJc w:val="left"/>
      <w:pPr>
        <w:ind w:left="3487" w:hanging="567"/>
      </w:pPr>
    </w:lvl>
    <w:lvl w:ilvl="7">
      <w:numFmt w:val="bullet"/>
      <w:lvlText w:val="•"/>
      <w:lvlJc w:val="left"/>
      <w:pPr>
        <w:ind w:left="3952" w:hanging="567"/>
      </w:pPr>
    </w:lvl>
    <w:lvl w:ilvl="8">
      <w:numFmt w:val="bullet"/>
      <w:lvlText w:val="•"/>
      <w:lvlJc w:val="left"/>
      <w:pPr>
        <w:ind w:left="4417" w:hanging="567"/>
      </w:pPr>
    </w:lvl>
  </w:abstractNum>
  <w:abstractNum w:abstractNumId="1" w15:restartNumberingAfterBreak="0">
    <w:nsid w:val="3E883717"/>
    <w:multiLevelType w:val="multilevel"/>
    <w:tmpl w:val="594AD57E"/>
    <w:lvl w:ilvl="0">
      <w:start w:val="1"/>
      <w:numFmt w:val="decimal"/>
      <w:lvlText w:val="%1"/>
      <w:lvlJc w:val="left"/>
      <w:pPr>
        <w:ind w:left="574" w:hanging="140"/>
      </w:pPr>
      <w:rPr>
        <w:b/>
        <w:i/>
      </w:rPr>
    </w:lvl>
    <w:lvl w:ilvl="1">
      <w:start w:val="1"/>
      <w:numFmt w:val="decimal"/>
      <w:lvlText w:val="%1.%2"/>
      <w:lvlJc w:val="left"/>
      <w:pPr>
        <w:ind w:left="574" w:hanging="432"/>
      </w:pPr>
      <w:rPr>
        <w:rFonts w:ascii="Georgia" w:eastAsia="Georgia" w:hAnsi="Georgia" w:cs="Georgia"/>
        <w:sz w:val="18"/>
        <w:szCs w:val="18"/>
      </w:rPr>
    </w:lvl>
    <w:lvl w:ilvl="2">
      <w:start w:val="1"/>
      <w:numFmt w:val="lowerRoman"/>
      <w:lvlText w:val="(%3)"/>
      <w:lvlJc w:val="left"/>
      <w:pPr>
        <w:ind w:left="574" w:hanging="212"/>
      </w:pPr>
      <w:rPr>
        <w:rFonts w:ascii="Georgia" w:eastAsia="Georgia" w:hAnsi="Georgia" w:cs="Georgia"/>
        <w:sz w:val="16"/>
        <w:szCs w:val="16"/>
      </w:rPr>
    </w:lvl>
    <w:lvl w:ilvl="3">
      <w:numFmt w:val="bullet"/>
      <w:lvlText w:val="•"/>
      <w:lvlJc w:val="left"/>
      <w:pPr>
        <w:ind w:left="392" w:hanging="211"/>
      </w:pPr>
    </w:lvl>
    <w:lvl w:ilvl="4">
      <w:numFmt w:val="bullet"/>
      <w:lvlText w:val="•"/>
      <w:lvlJc w:val="left"/>
      <w:pPr>
        <w:ind w:left="298" w:hanging="212"/>
      </w:pPr>
    </w:lvl>
    <w:lvl w:ilvl="5">
      <w:numFmt w:val="bullet"/>
      <w:lvlText w:val="•"/>
      <w:lvlJc w:val="left"/>
      <w:pPr>
        <w:ind w:left="205" w:hanging="212"/>
      </w:pPr>
    </w:lvl>
    <w:lvl w:ilvl="6">
      <w:numFmt w:val="bullet"/>
      <w:lvlText w:val="•"/>
      <w:lvlJc w:val="left"/>
      <w:pPr>
        <w:ind w:left="111" w:hanging="212"/>
      </w:pPr>
    </w:lvl>
    <w:lvl w:ilvl="7">
      <w:numFmt w:val="bullet"/>
      <w:lvlText w:val="•"/>
      <w:lvlJc w:val="left"/>
      <w:pPr>
        <w:ind w:left="17" w:hanging="212"/>
      </w:pPr>
    </w:lvl>
    <w:lvl w:ilvl="8">
      <w:numFmt w:val="bullet"/>
      <w:lvlText w:val="•"/>
      <w:lvlJc w:val="left"/>
      <w:pPr>
        <w:ind w:left="-76" w:hanging="212"/>
      </w:pPr>
    </w:lvl>
  </w:abstractNum>
  <w:num w:numId="1" w16cid:durableId="176580054">
    <w:abstractNumId w:val="1"/>
  </w:num>
  <w:num w:numId="2" w16cid:durableId="817847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F86"/>
    <w:rsid w:val="008E6607"/>
    <w:rsid w:val="00BF1F86"/>
    <w:rsid w:val="00DD3805"/>
    <w:rsid w:val="00FB5DE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8C53B"/>
  <w15:docId w15:val="{5B004A54-5FE5-8C4D-8A4D-91FFE9309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805"/>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tabs>
        <w:tab w:val="left" w:pos="282"/>
      </w:tabs>
      <w:spacing w:before="140" w:after="140" w:line="240" w:lineRule="auto"/>
      <w:ind w:left="360"/>
      <w:outlineLvl w:val="1"/>
    </w:pPr>
    <w:rPr>
      <w:rFonts w:ascii="Playfair Display" w:eastAsia="Playfair Display" w:hAnsi="Playfair Display" w:cs="Playfair Display"/>
      <w:b/>
      <w:i/>
      <w:sz w:val="16"/>
      <w:szCs w:val="1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D3805"/>
    <w:pPr>
      <w:tabs>
        <w:tab w:val="center" w:pos="4680"/>
        <w:tab w:val="right" w:pos="9360"/>
      </w:tabs>
      <w:spacing w:line="240" w:lineRule="auto"/>
    </w:pPr>
  </w:style>
  <w:style w:type="character" w:customStyle="1" w:styleId="HeaderChar">
    <w:name w:val="Header Char"/>
    <w:basedOn w:val="DefaultParagraphFont"/>
    <w:link w:val="Header"/>
    <w:uiPriority w:val="99"/>
    <w:rsid w:val="00DD3805"/>
  </w:style>
  <w:style w:type="paragraph" w:styleId="Footer">
    <w:name w:val="footer"/>
    <w:basedOn w:val="Normal"/>
    <w:link w:val="FooterChar"/>
    <w:uiPriority w:val="99"/>
    <w:unhideWhenUsed/>
    <w:rsid w:val="00DD3805"/>
    <w:pPr>
      <w:tabs>
        <w:tab w:val="center" w:pos="4680"/>
        <w:tab w:val="right" w:pos="9360"/>
      </w:tabs>
      <w:spacing w:line="240" w:lineRule="auto"/>
    </w:pPr>
  </w:style>
  <w:style w:type="character" w:customStyle="1" w:styleId="FooterChar">
    <w:name w:val="Footer Char"/>
    <w:basedOn w:val="DefaultParagraphFont"/>
    <w:link w:val="Footer"/>
    <w:uiPriority w:val="99"/>
    <w:rsid w:val="00DD3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1859</Words>
  <Characters>10599</Characters>
  <Application>Microsoft Office Word</Application>
  <DocSecurity>0</DocSecurity>
  <Lines>88</Lines>
  <Paragraphs>24</Paragraphs>
  <ScaleCrop>false</ScaleCrop>
  <Company/>
  <LinksUpToDate>false</LinksUpToDate>
  <CharactersWithSpaces>12434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Jhang</cp:lastModifiedBy>
  <cp:revision>2</cp:revision>
  <dcterms:created xsi:type="dcterms:W3CDTF">2026-01-03T11:22:00Z</dcterms:created>
  <dcterms:modified xsi:type="dcterms:W3CDTF">2026-01-03T11:23:00Z</dcterms:modified>
</cp:coreProperties>
</file>