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tabs>
          <w:tab w:val="left" w:leader="none" w:pos="9360"/>
        </w:tabs>
        <w:spacing w:line="276" w:lineRule="auto"/>
        <w:ind w:right="600"/>
        <w:jc w:val="left"/>
        <w:rPr/>
      </w:pPr>
      <w:bookmarkStart w:colFirst="0" w:colLast="0" w:name="_heading=h.ho5iw8izt4uy" w:id="0"/>
      <w:bookmarkEnd w:id="0"/>
      <w:r w:rsidDel="00000000" w:rsidR="00000000" w:rsidRPr="00000000">
        <w:rPr>
          <w:rtl w:val="0"/>
        </w:rPr>
        <w:t xml:space="preserve">Parameter Notes (for customization before signing):</w:t>
      </w:r>
    </w:p>
    <w:p w:rsidR="00000000" w:rsidDel="00000000" w:rsidP="00000000" w:rsidRDefault="00000000" w:rsidRPr="00000000" w14:paraId="00000002">
      <w:pPr>
        <w:numPr>
          <w:ilvl w:val="0"/>
          <w:numId w:val="2"/>
        </w:numPr>
        <w:tabs>
          <w:tab w:val="left" w:leader="none" w:pos="9360"/>
        </w:tabs>
        <w:spacing w:line="276" w:lineRule="auto"/>
        <w:ind w:left="450" w:right="600" w:hanging="360"/>
        <w:rPr>
          <w:u w:val="none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{EQUITY_PERCENT}</w:t>
      </w:r>
      <w:r w:rsidDel="00000000" w:rsidR="00000000" w:rsidRPr="00000000">
        <w:rPr>
          <w:rtl w:val="0"/>
        </w:rPr>
        <w:t xml:space="preserve">: Typically </w:t>
      </w:r>
      <w:r w:rsidDel="00000000" w:rsidR="00000000" w:rsidRPr="00000000">
        <w:rPr>
          <w:b w:val="1"/>
          <w:bCs w:val="1"/>
          <w:rtl w:val="0"/>
        </w:rPr>
        <w:t xml:space="preserve">2.0% – 3.0%</w:t>
      </w:r>
      <w:r w:rsidDel="00000000" w:rsidR="00000000" w:rsidRPr="00000000">
        <w:rPr>
          <w:rtl w:val="0"/>
        </w:rPr>
        <w:t xml:space="preserve"> fully diluted for early-stage, hands-on advisory roles.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tabs>
          <w:tab w:val="left" w:leader="none" w:pos="9360"/>
        </w:tabs>
        <w:spacing w:line="276" w:lineRule="auto"/>
        <w:ind w:left="450" w:right="600" w:hanging="360"/>
        <w:rPr>
          <w:u w:val="none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{TOKEN_OFFSET}</w:t>
      </w:r>
      <w:r w:rsidDel="00000000" w:rsidR="00000000" w:rsidRPr="00000000">
        <w:rPr>
          <w:rtl w:val="0"/>
        </w:rPr>
        <w:t xml:space="preserve">: If a meaningful token grant exists, equity may be reduced proportionally.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tabs>
          <w:tab w:val="left" w:leader="none" w:pos="9360"/>
        </w:tabs>
        <w:spacing w:line="276" w:lineRule="auto"/>
        <w:ind w:left="450" w:right="600" w:hanging="360"/>
        <w:rPr>
          <w:u w:val="none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{ADVISORY_START_DATE}</w:t>
      </w:r>
      <w:r w:rsidDel="00000000" w:rsidR="00000000" w:rsidRPr="00000000">
        <w:rPr>
          <w:rtl w:val="0"/>
        </w:rPr>
        <w:t xml:space="preserve">: Often </w:t>
      </w:r>
      <w:r w:rsidDel="00000000" w:rsidR="00000000" w:rsidRPr="00000000">
        <w:rPr>
          <w:b w:val="1"/>
          <w:bCs w:val="1"/>
          <w:rtl w:val="0"/>
        </w:rPr>
        <w:t xml:space="preserve">backdated</w:t>
      </w:r>
      <w:r w:rsidDel="00000000" w:rsidR="00000000" w:rsidRPr="00000000">
        <w:rPr>
          <w:rtl w:val="0"/>
        </w:rPr>
        <w:t xml:space="preserve"> to when advisory efforts began.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tabs>
          <w:tab w:val="left" w:leader="none" w:pos="9360"/>
        </w:tabs>
        <w:spacing w:line="276" w:lineRule="auto"/>
        <w:ind w:left="450" w:right="600" w:hanging="360"/>
        <w:rPr>
          <w:u w:val="none"/>
        </w:rPr>
      </w:pPr>
      <w:r w:rsidDel="00000000" w:rsidR="00000000" w:rsidRPr="00000000">
        <w:rPr>
          <w:rFonts w:ascii="Roboto Mono" w:cs="Roboto Mono" w:eastAsia="Roboto Mono" w:hAnsi="Roboto Mono"/>
          <w:color w:val="188038"/>
          <w:rtl w:val="0"/>
        </w:rPr>
        <w:t xml:space="preserve">{ACCELERATION_MONTHS}</w:t>
      </w:r>
      <w:r w:rsidDel="00000000" w:rsidR="00000000" w:rsidRPr="00000000">
        <w:rPr>
          <w:rtl w:val="0"/>
        </w:rPr>
        <w:t xml:space="preserve">: Market-standard advisor protection is </w:t>
      </w:r>
      <w:r w:rsidDel="00000000" w:rsidR="00000000" w:rsidRPr="00000000">
        <w:rPr>
          <w:b w:val="1"/>
          <w:bCs w:val="1"/>
          <w:rtl w:val="0"/>
        </w:rPr>
        <w:t xml:space="preserve">6–12 months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6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9360"/>
        </w:tabs>
        <w:spacing w:line="276" w:lineRule="auto"/>
        <w:ind w:left="0" w:right="600" w:firstLine="0"/>
        <w:rPr/>
      </w:pPr>
      <w:r w:rsidDel="00000000" w:rsidR="00000000" w:rsidRPr="00000000">
        <w:rPr>
          <w:b w:val="1"/>
          <w:bCs w:val="1"/>
          <w:rtl w:val="0"/>
        </w:rPr>
        <w:t xml:space="preserve">Final Counsel Note:</w:t>
      </w:r>
      <w:r w:rsidDel="00000000" w:rsidR="00000000" w:rsidRPr="00000000">
        <w:rPr>
          <w:rtl w:val="0"/>
        </w:rPr>
        <w:br w:type="textWrapping"/>
        <w:t xml:space="preserve">This structure is optimized for senior advisors operating at the intersection of strategy, capital, and execution. It is balanced, enforceable, and familiar to experienced boards and venture counsel.</w:t>
      </w:r>
    </w:p>
    <w:p w:rsidR="00000000" w:rsidDel="00000000" w:rsidP="00000000" w:rsidRDefault="00000000" w:rsidRPr="00000000" w14:paraId="0000000A">
      <w:pPr>
        <w:pStyle w:val="Heading1"/>
        <w:tabs>
          <w:tab w:val="left" w:leader="none" w:pos="9360"/>
        </w:tabs>
        <w:spacing w:line="276" w:lineRule="auto"/>
        <w:jc w:val="left"/>
        <w:rPr/>
      </w:pPr>
      <w:bookmarkStart w:colFirst="0" w:colLast="0" w:name="_heading=h.fh4sp7u1wj94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Title"/>
        <w:tabs>
          <w:tab w:val="left" w:leader="none" w:pos="9360"/>
        </w:tabs>
        <w:spacing w:line="276" w:lineRule="auto"/>
        <w:jc w:val="center"/>
        <w:rPr/>
      </w:pPr>
      <w:bookmarkStart w:colFirst="0" w:colLast="0" w:name="_heading=h.35ejrap0bt4q" w:id="2"/>
      <w:bookmarkEnd w:id="2"/>
      <w:r w:rsidDel="00000000" w:rsidR="00000000" w:rsidRPr="00000000">
        <w:rPr>
          <w:rtl w:val="0"/>
        </w:rPr>
        <w:t xml:space="preserve">ADVISOR AGREEMENT</w:t>
      </w:r>
    </w:p>
    <w:p w:rsidR="00000000" w:rsidDel="00000000" w:rsidP="00000000" w:rsidRDefault="00000000" w:rsidRPr="00000000" w14:paraId="0000000C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im8el8jwuu7q" w:id="3"/>
      <w:bookmarkEnd w:id="3"/>
      <w:r w:rsidDel="00000000" w:rsidR="00000000" w:rsidRPr="00000000">
        <w:rPr>
          <w:rtl w:val="0"/>
        </w:rPr>
        <w:t xml:space="preserve">ADVISOR AGREEMENT</w:t>
      </w:r>
    </w:p>
    <w:p w:rsidR="00000000" w:rsidDel="00000000" w:rsidP="00000000" w:rsidRDefault="00000000" w:rsidRPr="00000000" w14:paraId="00000010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This Advisor Agreement (this “</w:t>
      </w:r>
      <w:r w:rsidDel="00000000" w:rsidR="00000000" w:rsidRPr="00000000">
        <w:rPr>
          <w:b w:val="1"/>
          <w:bCs w:val="1"/>
          <w:rtl w:val="0"/>
        </w:rPr>
        <w:t xml:space="preserve">Agreement</w:t>
      </w:r>
      <w:r w:rsidDel="00000000" w:rsidR="00000000" w:rsidRPr="00000000">
        <w:rPr>
          <w:rtl w:val="0"/>
        </w:rPr>
        <w:t xml:space="preserve">”) is entered into as of </w:t>
      </w:r>
      <w:r w:rsidDel="00000000" w:rsidR="00000000" w:rsidRPr="00000000">
        <w:rPr>
          <w:b w:val="1"/>
          <w:bCs w:val="1"/>
          <w:rtl w:val="0"/>
        </w:rPr>
        <w:t xml:space="preserve">_____________ </w:t>
      </w:r>
      <w:r w:rsidDel="00000000" w:rsidR="00000000" w:rsidRPr="00000000">
        <w:rPr>
          <w:rtl w:val="0"/>
        </w:rPr>
        <w:t xml:space="preserve"> (the “</w:t>
      </w:r>
      <w:r w:rsidDel="00000000" w:rsidR="00000000" w:rsidRPr="00000000">
        <w:rPr>
          <w:b w:val="1"/>
          <w:bCs w:val="1"/>
          <w:rtl w:val="0"/>
        </w:rPr>
        <w:t xml:space="preserve">Effective Date</w:t>
      </w:r>
      <w:r w:rsidDel="00000000" w:rsidR="00000000" w:rsidRPr="00000000">
        <w:rPr>
          <w:rtl w:val="0"/>
        </w:rPr>
        <w:t xml:space="preserve">”), and is </w:t>
      </w:r>
      <w:r w:rsidDel="00000000" w:rsidR="00000000" w:rsidRPr="00000000">
        <w:rPr>
          <w:b w:val="1"/>
          <w:bCs w:val="1"/>
          <w:rtl w:val="0"/>
        </w:rPr>
        <w:t xml:space="preserve">deemed effective as of _____________</w:t>
      </w:r>
      <w:r w:rsidDel="00000000" w:rsidR="00000000" w:rsidRPr="00000000">
        <w:rPr>
          <w:rtl w:val="0"/>
        </w:rPr>
        <w:t xml:space="preserve"> (the “</w:t>
      </w:r>
      <w:r w:rsidDel="00000000" w:rsidR="00000000" w:rsidRPr="00000000">
        <w:rPr>
          <w:b w:val="1"/>
          <w:bCs w:val="1"/>
          <w:rtl w:val="0"/>
        </w:rPr>
        <w:t xml:space="preserve">Advisory Commencement Date</w:t>
      </w:r>
      <w:r w:rsidDel="00000000" w:rsidR="00000000" w:rsidRPr="00000000">
        <w:rPr>
          <w:rtl w:val="0"/>
        </w:rPr>
        <w:t xml:space="preserve">”), by and between </w:t>
      </w:r>
      <w:r w:rsidDel="00000000" w:rsidR="00000000" w:rsidRPr="00000000">
        <w:rPr>
          <w:b w:val="1"/>
          <w:bCs w:val="1"/>
          <w:rtl w:val="0"/>
        </w:rPr>
        <w:t xml:space="preserve">_________________________</w:t>
      </w:r>
      <w:r w:rsidDel="00000000" w:rsidR="00000000" w:rsidRPr="00000000">
        <w:rPr>
          <w:rtl w:val="0"/>
        </w:rPr>
        <w:t xml:space="preserve">, a </w:t>
      </w:r>
      <w:r w:rsidDel="00000000" w:rsidR="00000000" w:rsidRPr="00000000">
        <w:rPr>
          <w:b w:val="1"/>
          <w:bCs w:val="1"/>
          <w:rtl w:val="0"/>
        </w:rPr>
        <w:t xml:space="preserve">____________ corporation </w:t>
      </w:r>
      <w:r w:rsidDel="00000000" w:rsidR="00000000" w:rsidRPr="00000000">
        <w:rPr>
          <w:rtl w:val="0"/>
        </w:rPr>
        <w:t xml:space="preserve">(the “</w:t>
      </w:r>
      <w:r w:rsidDel="00000000" w:rsidR="00000000" w:rsidRPr="00000000">
        <w:rPr>
          <w:b w:val="1"/>
          <w:bCs w:val="1"/>
          <w:rtl w:val="0"/>
        </w:rPr>
        <w:t xml:space="preserve">Company</w:t>
      </w:r>
      <w:r w:rsidDel="00000000" w:rsidR="00000000" w:rsidRPr="00000000">
        <w:rPr>
          <w:rtl w:val="0"/>
        </w:rPr>
        <w:t xml:space="preserve">”), and </w:t>
      </w:r>
      <w:r w:rsidDel="00000000" w:rsidR="00000000" w:rsidRPr="00000000">
        <w:rPr>
          <w:b w:val="1"/>
          <w:bCs w:val="1"/>
          <w:rtl w:val="0"/>
        </w:rPr>
        <w:t xml:space="preserve">___________________</w:t>
      </w:r>
      <w:r w:rsidDel="00000000" w:rsidR="00000000" w:rsidRPr="00000000">
        <w:rPr>
          <w:rtl w:val="0"/>
        </w:rPr>
        <w:t xml:space="preserve"> (“</w:t>
      </w:r>
      <w:r w:rsidDel="00000000" w:rsidR="00000000" w:rsidRPr="00000000">
        <w:rPr>
          <w:b w:val="1"/>
          <w:bCs w:val="1"/>
          <w:rtl w:val="0"/>
        </w:rPr>
        <w:t xml:space="preserve">Advisor</w:t>
      </w:r>
      <w:r w:rsidDel="00000000" w:rsidR="00000000" w:rsidRPr="00000000">
        <w:rPr>
          <w:rtl w:val="0"/>
        </w:rPr>
        <w:t xml:space="preserve">”).</w:t>
      </w:r>
    </w:p>
    <w:p w:rsidR="00000000" w:rsidDel="00000000" w:rsidP="00000000" w:rsidRDefault="00000000" w:rsidRPr="00000000" w14:paraId="00000011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mwrexgmwltft" w:id="4"/>
      <w:bookmarkEnd w:id="4"/>
      <w:r w:rsidDel="00000000" w:rsidR="00000000" w:rsidRPr="00000000">
        <w:rPr>
          <w:rtl w:val="0"/>
        </w:rPr>
        <w:t xml:space="preserve">1. Services</w:t>
      </w:r>
    </w:p>
    <w:p w:rsidR="00000000" w:rsidDel="00000000" w:rsidP="00000000" w:rsidRDefault="00000000" w:rsidRPr="00000000" w14:paraId="00000015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Advisor agrees to act as a </w:t>
      </w:r>
      <w:r w:rsidDel="00000000" w:rsidR="00000000" w:rsidRPr="00000000">
        <w:rPr>
          <w:b w:val="1"/>
          <w:bCs w:val="1"/>
          <w:rtl w:val="0"/>
        </w:rPr>
        <w:t xml:space="preserve">strategic, non-exclusive advisor</w:t>
      </w:r>
      <w:r w:rsidDel="00000000" w:rsidR="00000000" w:rsidRPr="00000000">
        <w:rPr>
          <w:rtl w:val="0"/>
        </w:rPr>
        <w:t xml:space="preserve"> to the Company and to provide advice and assistance from time to time with a particular focus on:</w:t>
      </w:r>
    </w:p>
    <w:p w:rsidR="00000000" w:rsidDel="00000000" w:rsidP="00000000" w:rsidRDefault="00000000" w:rsidRPr="00000000" w14:paraId="00000016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corporate and product strategy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company and capital structure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data-driven decision support and key metrics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team and leadership feedback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fundraising strategy and investor introductions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early sales, partnerships, and go-to-market support</w:t>
      </w:r>
    </w:p>
    <w:p w:rsidR="00000000" w:rsidDel="00000000" w:rsidP="00000000" w:rsidRDefault="00000000" w:rsidRPr="00000000" w14:paraId="0000001D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(collectively, the “</w:t>
      </w:r>
      <w:r w:rsidDel="00000000" w:rsidR="00000000" w:rsidRPr="00000000">
        <w:rPr>
          <w:b w:val="1"/>
          <w:bCs w:val="1"/>
          <w:rtl w:val="0"/>
        </w:rPr>
        <w:t xml:space="preserve">Services</w:t>
      </w:r>
      <w:r w:rsidDel="00000000" w:rsidR="00000000" w:rsidRPr="00000000">
        <w:rPr>
          <w:rtl w:val="0"/>
        </w:rPr>
        <w:t xml:space="preserve">”).</w:t>
      </w:r>
    </w:p>
    <w:p w:rsidR="00000000" w:rsidDel="00000000" w:rsidP="00000000" w:rsidRDefault="00000000" w:rsidRPr="00000000" w14:paraId="0000001F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For clarity:</w:t>
      </w:r>
    </w:p>
    <w:p w:rsidR="00000000" w:rsidDel="00000000" w:rsidP="00000000" w:rsidRDefault="00000000" w:rsidRPr="00000000" w14:paraId="00000021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Advisor shall have </w:t>
      </w:r>
      <w:r w:rsidDel="00000000" w:rsidR="00000000" w:rsidRPr="00000000">
        <w:rPr>
          <w:b w:val="1"/>
          <w:bCs w:val="1"/>
          <w:rtl w:val="0"/>
        </w:rPr>
        <w:t xml:space="preserve">no minimum time commitment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Advisor shall have </w:t>
      </w:r>
      <w:r w:rsidDel="00000000" w:rsidR="00000000" w:rsidRPr="00000000">
        <w:rPr>
          <w:b w:val="1"/>
          <w:bCs w:val="1"/>
          <w:rtl w:val="0"/>
        </w:rPr>
        <w:t xml:space="preserve">no operational, managerial, or fiduciary authority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Advisor shall not be required to provide Services on an exclusive basis.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Advisor shall not have authority to bind the Company absent written authorization.</w:t>
      </w:r>
    </w:p>
    <w:p w:rsidR="00000000" w:rsidDel="00000000" w:rsidP="00000000" w:rsidRDefault="00000000" w:rsidRPr="00000000" w14:paraId="00000026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yukn2s9n4bz" w:id="5"/>
      <w:bookmarkEnd w:id="5"/>
      <w:r w:rsidDel="00000000" w:rsidR="00000000" w:rsidRPr="00000000">
        <w:rPr>
          <w:rtl w:val="0"/>
        </w:rPr>
        <w:t xml:space="preserve">2. Compensation; Expenses</w:t>
      </w:r>
    </w:p>
    <w:p w:rsidR="00000000" w:rsidDel="00000000" w:rsidP="00000000" w:rsidRDefault="00000000" w:rsidRPr="00000000" w14:paraId="0000002A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The Company shall reimburse Advisor for </w:t>
      </w:r>
      <w:r w:rsidDel="00000000" w:rsidR="00000000" w:rsidRPr="00000000">
        <w:rPr>
          <w:b w:val="1"/>
          <w:bCs w:val="1"/>
          <w:rtl w:val="0"/>
        </w:rPr>
        <w:t xml:space="preserve">reasonable, documented, pre-approved out-of-pocket expenses</w:t>
      </w:r>
      <w:r w:rsidDel="00000000" w:rsidR="00000000" w:rsidRPr="00000000">
        <w:rPr>
          <w:rtl w:val="0"/>
        </w:rPr>
        <w:t xml:space="preserve"> incurred in connection with the Services. Approval may be provided by email. Expense reimbursement requests must be submitted within ninety (90) days of incurrence.</w:t>
      </w:r>
    </w:p>
    <w:p w:rsidR="00000000" w:rsidDel="00000000" w:rsidP="00000000" w:rsidRDefault="00000000" w:rsidRPr="00000000" w14:paraId="0000002B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blyijqj4sdso" w:id="6"/>
      <w:bookmarkEnd w:id="6"/>
      <w:r w:rsidDel="00000000" w:rsidR="00000000" w:rsidRPr="00000000">
        <w:rPr>
          <w:rtl w:val="0"/>
        </w:rPr>
        <w:t xml:space="preserve">3. Equity Grant</w:t>
      </w:r>
    </w:p>
    <w:p w:rsidR="00000000" w:rsidDel="00000000" w:rsidP="00000000" w:rsidRDefault="00000000" w:rsidRPr="00000000" w14:paraId="0000002F">
      <w:pPr>
        <w:pStyle w:val="Heading3"/>
        <w:tabs>
          <w:tab w:val="left" w:leader="none" w:pos="9360"/>
        </w:tabs>
        <w:spacing w:line="276" w:lineRule="auto"/>
        <w:rPr/>
      </w:pPr>
      <w:bookmarkStart w:colFirst="0" w:colLast="0" w:name="_heading=h.ra4qg6ijdzwv" w:id="7"/>
      <w:bookmarkEnd w:id="7"/>
      <w:r w:rsidDel="00000000" w:rsidR="00000000" w:rsidRPr="00000000">
        <w:rPr>
          <w:rtl w:val="0"/>
        </w:rPr>
        <w:t xml:space="preserve">(a) Grant</w:t>
      </w:r>
    </w:p>
    <w:p w:rsidR="00000000" w:rsidDel="00000000" w:rsidP="00000000" w:rsidRDefault="00000000" w:rsidRPr="00000000" w14:paraId="00000030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Within thirty (30) days following the Effective Date, the Company shall grant Advisor an equity award representing </w:t>
      </w:r>
      <w:r w:rsidDel="00000000" w:rsidR="00000000" w:rsidRPr="00000000">
        <w:rPr>
          <w:b w:val="1"/>
          <w:bCs w:val="1"/>
          <w:rtl w:val="0"/>
        </w:rPr>
        <w:t xml:space="preserve">{EQUITY_PERCENT}%</w:t>
      </w:r>
      <w:r w:rsidDel="00000000" w:rsidR="00000000" w:rsidRPr="00000000">
        <w:rPr>
          <w:rtl w:val="0"/>
        </w:rPr>
        <w:t xml:space="preserve"> of the Company’s fully diluted capitalization as of the grant date (the “</w:t>
      </w:r>
      <w:r w:rsidDel="00000000" w:rsidR="00000000" w:rsidRPr="00000000">
        <w:rPr>
          <w:b w:val="1"/>
          <w:bCs w:val="1"/>
          <w:rtl w:val="0"/>
        </w:rPr>
        <w:t xml:space="preserve">Equity Grant</w:t>
      </w:r>
      <w:r w:rsidDel="00000000" w:rsidR="00000000" w:rsidRPr="00000000">
        <w:rPr>
          <w:rtl w:val="0"/>
        </w:rPr>
        <w:t xml:space="preserve">”), at the fair market value determined by the Company’s board of directors in good faith.</w:t>
      </w:r>
    </w:p>
    <w:p w:rsidR="00000000" w:rsidDel="00000000" w:rsidP="00000000" w:rsidRDefault="00000000" w:rsidRPr="00000000" w14:paraId="00000031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3"/>
        <w:tabs>
          <w:tab w:val="left" w:leader="none" w:pos="9360"/>
        </w:tabs>
        <w:spacing w:line="276" w:lineRule="auto"/>
        <w:rPr/>
      </w:pPr>
      <w:bookmarkStart w:colFirst="0" w:colLast="0" w:name="_heading=h.tvwkmm8xudhx" w:id="8"/>
      <w:bookmarkEnd w:id="8"/>
      <w:r w:rsidDel="00000000" w:rsidR="00000000" w:rsidRPr="00000000">
        <w:rPr>
          <w:rtl w:val="0"/>
        </w:rPr>
        <w:t xml:space="preserve">(b) Vesting</w:t>
      </w:r>
    </w:p>
    <w:p w:rsidR="00000000" w:rsidDel="00000000" w:rsidP="00000000" w:rsidRDefault="00000000" w:rsidRPr="00000000" w14:paraId="00000033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The Equity Grant shall vest in </w:t>
      </w:r>
      <w:r w:rsidDel="00000000" w:rsidR="00000000" w:rsidRPr="00000000">
        <w:rPr>
          <w:b w:val="1"/>
          <w:bCs w:val="1"/>
          <w:rtl w:val="0"/>
        </w:rPr>
        <w:t xml:space="preserve">equal monthly installments over 24 months</w:t>
      </w:r>
      <w:r w:rsidDel="00000000" w:rsidR="00000000" w:rsidRPr="00000000">
        <w:rPr>
          <w:rtl w:val="0"/>
        </w:rPr>
        <w:t xml:space="preserve">, commencing on the Advisory Commencement Date, subject to Advisor’s continued provision of Services.</w:t>
      </w:r>
    </w:p>
    <w:p w:rsidR="00000000" w:rsidDel="00000000" w:rsidP="00000000" w:rsidRDefault="00000000" w:rsidRPr="00000000" w14:paraId="00000034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3"/>
        <w:tabs>
          <w:tab w:val="left" w:leader="none" w:pos="9360"/>
        </w:tabs>
        <w:spacing w:line="276" w:lineRule="auto"/>
        <w:rPr/>
      </w:pPr>
      <w:bookmarkStart w:colFirst="0" w:colLast="0" w:name="_heading=h.wbsyvauduawl" w:id="9"/>
      <w:bookmarkEnd w:id="9"/>
      <w:r w:rsidDel="00000000" w:rsidR="00000000" w:rsidRPr="00000000">
        <w:rPr>
          <w:rtl w:val="0"/>
        </w:rPr>
        <w:t xml:space="preserve">(c) Acceleration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rtl w:val="0"/>
        </w:rPr>
        <w:t xml:space="preserve">Change of Control</w:t>
      </w:r>
      <w:r w:rsidDel="00000000" w:rsidR="00000000" w:rsidRPr="00000000">
        <w:rPr>
          <w:rtl w:val="0"/>
        </w:rPr>
        <w:t xml:space="preserve">: 100% of unvested equity shall immediately vest upon a Change of Control, excluding a bona fide primary financing.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rtl w:val="0"/>
        </w:rPr>
        <w:t xml:space="preserve">Termination Without Cause or for Good Reason</w:t>
      </w:r>
      <w:r w:rsidDel="00000000" w:rsidR="00000000" w:rsidRPr="00000000">
        <w:rPr>
          <w:rtl w:val="0"/>
        </w:rPr>
        <w:t xml:space="preserve">: Vesting shall accelerate as to the portion that would have vested during the </w:t>
      </w:r>
      <w:r w:rsidDel="00000000" w:rsidR="00000000" w:rsidRPr="00000000">
        <w:rPr>
          <w:b w:val="1"/>
          <w:bCs w:val="1"/>
          <w:rtl w:val="0"/>
        </w:rPr>
        <w:t xml:space="preserve">{ACCELERATION_MONTHS} months</w:t>
      </w:r>
      <w:r w:rsidDel="00000000" w:rsidR="00000000" w:rsidRPr="00000000">
        <w:rPr>
          <w:rtl w:val="0"/>
        </w:rPr>
        <w:t xml:space="preserve"> following termination.</w:t>
      </w:r>
    </w:p>
    <w:p w:rsidR="00000000" w:rsidDel="00000000" w:rsidP="00000000" w:rsidRDefault="00000000" w:rsidRPr="00000000" w14:paraId="00000038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kr8z8ffi8rmw" w:id="10"/>
      <w:bookmarkEnd w:id="10"/>
      <w:r w:rsidDel="00000000" w:rsidR="00000000" w:rsidRPr="00000000">
        <w:rPr>
          <w:rtl w:val="0"/>
        </w:rPr>
        <w:t xml:space="preserve">4. Token Grant (If Applicable)</w:t>
      </w:r>
    </w:p>
    <w:p w:rsidR="00000000" w:rsidDel="00000000" w:rsidP="00000000" w:rsidRDefault="00000000" w:rsidRPr="00000000" w14:paraId="0000003C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If the Company maintains or intends to launch a tokenized network or protocol, the Company shall grant Advisor </w:t>
      </w:r>
      <w:r w:rsidDel="00000000" w:rsidR="00000000" w:rsidRPr="00000000">
        <w:rPr>
          <w:b w:val="1"/>
          <w:bCs w:val="1"/>
          <w:rtl w:val="0"/>
        </w:rPr>
        <w:t xml:space="preserve">{TOKEN_AMOUNT} tokens</w:t>
      </w:r>
      <w:r w:rsidDel="00000000" w:rsidR="00000000" w:rsidRPr="00000000">
        <w:rPr>
          <w:rtl w:val="0"/>
        </w:rPr>
        <w:t xml:space="preserve">, representing </w:t>
      </w:r>
      <w:r w:rsidDel="00000000" w:rsidR="00000000" w:rsidRPr="00000000">
        <w:rPr>
          <w:b w:val="1"/>
          <w:bCs w:val="1"/>
          <w:rtl w:val="0"/>
        </w:rPr>
        <w:t xml:space="preserve">{TOKEN_PERCENT}%</w:t>
      </w:r>
      <w:r w:rsidDel="00000000" w:rsidR="00000000" w:rsidRPr="00000000">
        <w:rPr>
          <w:rtl w:val="0"/>
        </w:rPr>
        <w:t xml:space="preserve"> of the fully diluted token supply, subject to a separate token grant agreement.</w:t>
      </w:r>
    </w:p>
    <w:p w:rsidR="00000000" w:rsidDel="00000000" w:rsidP="00000000" w:rsidRDefault="00000000" w:rsidRPr="00000000" w14:paraId="0000003D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Tokens shall vest </w:t>
      </w:r>
      <w:r w:rsidDel="00000000" w:rsidR="00000000" w:rsidRPr="00000000">
        <w:rPr>
          <w:b w:val="1"/>
          <w:bCs w:val="1"/>
          <w:rtl w:val="0"/>
        </w:rPr>
        <w:t xml:space="preserve">monthly over 24 months</w:t>
      </w:r>
      <w:r w:rsidDel="00000000" w:rsidR="00000000" w:rsidRPr="00000000">
        <w:rPr>
          <w:rtl w:val="0"/>
        </w:rPr>
        <w:t xml:space="preserve">, commencing on the Advisory Commencement Date, with full acceleration upon a Change of Control.</w:t>
      </w:r>
    </w:p>
    <w:p w:rsidR="00000000" w:rsidDel="00000000" w:rsidP="00000000" w:rsidRDefault="00000000" w:rsidRPr="00000000" w14:paraId="0000003F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If issuance or transfer of tokens becomes impracticable due to regulatory, legal, or technical constraints, the Company shall use commercially reasonable efforts to provide </w:t>
      </w:r>
      <w:r w:rsidDel="00000000" w:rsidR="00000000" w:rsidRPr="00000000">
        <w:rPr>
          <w:b w:val="1"/>
          <w:bCs w:val="1"/>
          <w:rtl w:val="0"/>
        </w:rPr>
        <w:t xml:space="preserve">economically equivalent substitute compensation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1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kgfxqprf7xmo" w:id="11"/>
      <w:bookmarkEnd w:id="11"/>
      <w:r w:rsidDel="00000000" w:rsidR="00000000" w:rsidRPr="00000000">
        <w:rPr>
          <w:rtl w:val="0"/>
        </w:rPr>
        <w:t xml:space="preserve">5. Term and Termination</w:t>
      </w:r>
    </w:p>
    <w:p w:rsidR="00000000" w:rsidDel="00000000" w:rsidP="00000000" w:rsidRDefault="00000000" w:rsidRPr="00000000" w14:paraId="00000045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This Agreement shall continue for </w:t>
      </w:r>
      <w:r w:rsidDel="00000000" w:rsidR="00000000" w:rsidRPr="00000000">
        <w:rPr>
          <w:b w:val="1"/>
          <w:bCs w:val="1"/>
          <w:rtl w:val="0"/>
        </w:rPr>
        <w:t xml:space="preserve">24 months</w:t>
      </w:r>
      <w:r w:rsidDel="00000000" w:rsidR="00000000" w:rsidRPr="00000000">
        <w:rPr>
          <w:rtl w:val="0"/>
        </w:rPr>
        <w:t xml:space="preserve"> unless earlier terminated by either party upon fifteen (15) days’ written notice.</w:t>
      </w:r>
    </w:p>
    <w:p w:rsidR="00000000" w:rsidDel="00000000" w:rsidP="00000000" w:rsidRDefault="00000000" w:rsidRPr="00000000" w14:paraId="00000046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For vesting purposes, Advisor shall be deemed to have continuously provided Services through the effective date of termination.</w:t>
      </w:r>
    </w:p>
    <w:p w:rsidR="00000000" w:rsidDel="00000000" w:rsidP="00000000" w:rsidRDefault="00000000" w:rsidRPr="00000000" w14:paraId="00000048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g9qw9n8p8ea1" w:id="12"/>
      <w:bookmarkEnd w:id="12"/>
      <w:r w:rsidDel="00000000" w:rsidR="00000000" w:rsidRPr="00000000">
        <w:rPr>
          <w:rtl w:val="0"/>
        </w:rPr>
        <w:t xml:space="preserve">6. Independent Contractor</w:t>
      </w:r>
    </w:p>
    <w:p w:rsidR="00000000" w:rsidDel="00000000" w:rsidP="00000000" w:rsidRDefault="00000000" w:rsidRPr="00000000" w14:paraId="0000004C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Advisor is an </w:t>
      </w:r>
      <w:r w:rsidDel="00000000" w:rsidR="00000000" w:rsidRPr="00000000">
        <w:rPr>
          <w:b w:val="1"/>
          <w:bCs w:val="1"/>
          <w:rtl w:val="0"/>
        </w:rPr>
        <w:t xml:space="preserve">independent contractor</w:t>
      </w:r>
      <w:r w:rsidDel="00000000" w:rsidR="00000000" w:rsidRPr="00000000">
        <w:rPr>
          <w:rtl w:val="0"/>
        </w:rPr>
        <w:t xml:space="preserve">, not an employee, agent, or fiduciary of the Company. Advisor shall be responsible for all taxes arising from compensation under this Agreement.</w:t>
      </w:r>
    </w:p>
    <w:p w:rsidR="00000000" w:rsidDel="00000000" w:rsidP="00000000" w:rsidRDefault="00000000" w:rsidRPr="00000000" w14:paraId="0000004D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Nothing herein creates any fiduciary duty on the part of Advisor.</w:t>
      </w:r>
    </w:p>
    <w:p w:rsidR="00000000" w:rsidDel="00000000" w:rsidP="00000000" w:rsidRDefault="00000000" w:rsidRPr="00000000" w14:paraId="0000004F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9jv75jcqc1yg" w:id="13"/>
      <w:bookmarkEnd w:id="13"/>
      <w:r w:rsidDel="00000000" w:rsidR="00000000" w:rsidRPr="00000000">
        <w:rPr>
          <w:rtl w:val="0"/>
        </w:rPr>
        <w:t xml:space="preserve">7. Confidentiality</w:t>
      </w:r>
    </w:p>
    <w:p w:rsidR="00000000" w:rsidDel="00000000" w:rsidP="00000000" w:rsidRDefault="00000000" w:rsidRPr="00000000" w14:paraId="00000053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Advisor agrees to maintain the confidentiality of all non-public Company information (“</w:t>
      </w:r>
      <w:r w:rsidDel="00000000" w:rsidR="00000000" w:rsidRPr="00000000">
        <w:rPr>
          <w:b w:val="1"/>
          <w:bCs w:val="1"/>
          <w:rtl w:val="0"/>
        </w:rPr>
        <w:t xml:space="preserve">Confidential Information</w:t>
      </w:r>
      <w:r w:rsidDel="00000000" w:rsidR="00000000" w:rsidRPr="00000000">
        <w:rPr>
          <w:rtl w:val="0"/>
        </w:rPr>
        <w:t xml:space="preserve">”) and to use such information solely in connection with the Services.</w:t>
      </w:r>
    </w:p>
    <w:p w:rsidR="00000000" w:rsidDel="00000000" w:rsidP="00000000" w:rsidRDefault="00000000" w:rsidRPr="00000000" w14:paraId="00000054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Confidential Information excludes information that:</w:t>
      </w:r>
    </w:p>
    <w:p w:rsidR="00000000" w:rsidDel="00000000" w:rsidP="00000000" w:rsidRDefault="00000000" w:rsidRPr="00000000" w14:paraId="00000056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was known to Advisor prior to disclosure,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becomes public through no fault of Advisor,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is independently developed without reference to Company Confidential Information, or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tabs>
          <w:tab w:val="left" w:leader="none" w:pos="9360"/>
        </w:tabs>
        <w:spacing w:line="276" w:lineRule="auto"/>
        <w:ind w:left="720" w:hanging="360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is approved for disclosure in writing by the Company.</w:t>
      </w:r>
    </w:p>
    <w:p w:rsidR="00000000" w:rsidDel="00000000" w:rsidP="00000000" w:rsidRDefault="00000000" w:rsidRPr="00000000" w14:paraId="0000005B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Advisor may use </w:t>
      </w:r>
      <w:r w:rsidDel="00000000" w:rsidR="00000000" w:rsidRPr="00000000">
        <w:rPr>
          <w:b w:val="1"/>
          <w:bCs w:val="1"/>
          <w:rtl w:val="0"/>
        </w:rPr>
        <w:t xml:space="preserve">general knowledge, skills, experience, and know-how retained in unaided memory</w:t>
      </w:r>
      <w:r w:rsidDel="00000000" w:rsidR="00000000" w:rsidRPr="00000000">
        <w:rPr>
          <w:rtl w:val="0"/>
        </w:rPr>
        <w:t xml:space="preserve">, provided no Confidential Information is disclosed.</w:t>
      </w:r>
    </w:p>
    <w:p w:rsidR="00000000" w:rsidDel="00000000" w:rsidP="00000000" w:rsidRDefault="00000000" w:rsidRPr="00000000" w14:paraId="0000005D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s5phylwzhfi2" w:id="14"/>
      <w:bookmarkEnd w:id="14"/>
      <w:r w:rsidDel="00000000" w:rsidR="00000000" w:rsidRPr="00000000">
        <w:rPr>
          <w:rtl w:val="0"/>
        </w:rPr>
        <w:t xml:space="preserve">8. Intellectual Property</w:t>
      </w:r>
    </w:p>
    <w:p w:rsidR="00000000" w:rsidDel="00000000" w:rsidP="00000000" w:rsidRDefault="00000000" w:rsidRPr="00000000" w14:paraId="00000061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Advisor shall not create any works made for hire. No intellectual property rights shall vest in the Company as a result of the Services.</w:t>
      </w:r>
    </w:p>
    <w:p w:rsidR="00000000" w:rsidDel="00000000" w:rsidP="00000000" w:rsidRDefault="00000000" w:rsidRPr="00000000" w14:paraId="00000062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dl3ohq7rjqm7" w:id="15"/>
      <w:bookmarkEnd w:id="15"/>
      <w:r w:rsidDel="00000000" w:rsidR="00000000" w:rsidRPr="00000000">
        <w:rPr>
          <w:rtl w:val="0"/>
        </w:rPr>
        <w:t xml:space="preserve">9. Conflicts of Interest; Investments</w:t>
      </w:r>
    </w:p>
    <w:p w:rsidR="00000000" w:rsidDel="00000000" w:rsidP="00000000" w:rsidRDefault="00000000" w:rsidRPr="00000000" w14:paraId="00000066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The Company acknowledges that Advisor and Advisor’s affiliates may advise, invest in, or operate other companies, including potentially competitive companies.</w:t>
      </w:r>
    </w:p>
    <w:p w:rsidR="00000000" w:rsidDel="00000000" w:rsidP="00000000" w:rsidRDefault="00000000" w:rsidRPr="00000000" w14:paraId="00000067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The Company waives any claims arising from such activities, provided Advisor complies with confidentiality obligations.</w:t>
      </w:r>
    </w:p>
    <w:p w:rsidR="00000000" w:rsidDel="00000000" w:rsidP="00000000" w:rsidRDefault="00000000" w:rsidRPr="00000000" w14:paraId="00000069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n0mfpn1s8twc" w:id="16"/>
      <w:bookmarkEnd w:id="16"/>
      <w:r w:rsidDel="00000000" w:rsidR="00000000" w:rsidRPr="00000000">
        <w:rPr>
          <w:rtl w:val="0"/>
        </w:rPr>
        <w:t xml:space="preserve">10. Publicity</w:t>
      </w:r>
    </w:p>
    <w:p w:rsidR="00000000" w:rsidDel="00000000" w:rsidP="00000000" w:rsidRDefault="00000000" w:rsidRPr="00000000" w14:paraId="0000006D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The Company may list Advisor as an advisor while Services are ongoing. Advisor may reference the Company as an advisory client. Any press use of Advisor’s name requires prior approval.</w:t>
      </w:r>
    </w:p>
    <w:p w:rsidR="00000000" w:rsidDel="00000000" w:rsidP="00000000" w:rsidRDefault="00000000" w:rsidRPr="00000000" w14:paraId="0000006E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6x6fs0321xpr" w:id="17"/>
      <w:bookmarkEnd w:id="17"/>
      <w:r w:rsidDel="00000000" w:rsidR="00000000" w:rsidRPr="00000000">
        <w:rPr>
          <w:rtl w:val="0"/>
        </w:rPr>
        <w:t xml:space="preserve">11. Indemnification</w:t>
      </w:r>
    </w:p>
    <w:p w:rsidR="00000000" w:rsidDel="00000000" w:rsidP="00000000" w:rsidRDefault="00000000" w:rsidRPr="00000000" w14:paraId="00000072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The Company shall indemnify and hold harmless Advisor from any claims arising out of the Services, except to the extent resulting from Advisor’s gross negligence or willful misconduct.</w:t>
      </w:r>
    </w:p>
    <w:p w:rsidR="00000000" w:rsidDel="00000000" w:rsidP="00000000" w:rsidRDefault="00000000" w:rsidRPr="00000000" w14:paraId="00000073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qovhgf5cdn3q" w:id="18"/>
      <w:bookmarkEnd w:id="18"/>
      <w:r w:rsidDel="00000000" w:rsidR="00000000" w:rsidRPr="00000000">
        <w:rPr>
          <w:rtl w:val="0"/>
        </w:rPr>
        <w:t xml:space="preserve">12. Limitation of Liability</w:t>
      </w:r>
    </w:p>
    <w:p w:rsidR="00000000" w:rsidDel="00000000" w:rsidP="00000000" w:rsidRDefault="00000000" w:rsidRPr="00000000" w14:paraId="00000077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Advisor’s aggregate liability shall not exceed the total compensation actually received under this Agreement.</w:t>
      </w:r>
    </w:p>
    <w:p w:rsidR="00000000" w:rsidDel="00000000" w:rsidP="00000000" w:rsidRDefault="00000000" w:rsidRPr="00000000" w14:paraId="00000078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a4ds2ecvkzco" w:id="19"/>
      <w:bookmarkEnd w:id="19"/>
      <w:r w:rsidDel="00000000" w:rsidR="00000000" w:rsidRPr="00000000">
        <w:rPr>
          <w:rtl w:val="0"/>
        </w:rPr>
        <w:t xml:space="preserve">13. Governing Law</w:t>
      </w:r>
    </w:p>
    <w:p w:rsidR="00000000" w:rsidDel="00000000" w:rsidP="00000000" w:rsidRDefault="00000000" w:rsidRPr="00000000" w14:paraId="0000007C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rPr>
          <w:rtl w:val="0"/>
        </w:rPr>
        <w:t xml:space="preserve">This Agreement shall be governed by the laws of the State of California. Exclusive jurisdiction shall lie in the state and federal courts located in San Francisco, California.</w:t>
      </w:r>
    </w:p>
    <w:p w:rsidR="00000000" w:rsidDel="00000000" w:rsidP="00000000" w:rsidRDefault="00000000" w:rsidRPr="00000000" w14:paraId="0000007D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Style w:val="Heading2"/>
        <w:tabs>
          <w:tab w:val="left" w:leader="none" w:pos="9360"/>
        </w:tabs>
        <w:spacing w:line="276" w:lineRule="auto"/>
        <w:rPr/>
      </w:pPr>
      <w:bookmarkStart w:colFirst="0" w:colLast="0" w:name="_heading=h.qeslzy1vrev1" w:id="20"/>
      <w:bookmarkEnd w:id="20"/>
      <w:r w:rsidDel="00000000" w:rsidR="00000000" w:rsidRPr="00000000">
        <w:rPr>
          <w:rtl w:val="0"/>
        </w:rPr>
        <w:t xml:space="preserve">SIGNATURES</w:t>
      </w:r>
    </w:p>
    <w:p w:rsidR="00000000" w:rsidDel="00000000" w:rsidP="00000000" w:rsidRDefault="00000000" w:rsidRPr="00000000" w14:paraId="00000081">
      <w:pPr>
        <w:tabs>
          <w:tab w:val="left" w:leader="none" w:pos="9360"/>
        </w:tabs>
        <w:rPr/>
      </w:pPr>
      <w:r w:rsidDel="00000000" w:rsidR="00000000" w:rsidRPr="00000000">
        <w:rPr>
          <w:rtl w:val="0"/>
        </w:rPr>
      </w:r>
    </w:p>
    <w:sdt>
      <w:sdtPr>
        <w:lock w:val="contentLocked"/>
        <w:id w:val="-1680379713"/>
        <w:tag w:val="goog_rdk_0"/>
      </w:sdtPr>
      <w:sdtContent>
        <w:tbl>
          <w:tblPr>
            <w:tblStyle w:val="Table1"/>
            <w:tblW w:w="936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680"/>
            <w:gridCol w:w="4680"/>
            <w:tblGridChange w:id="0">
              <w:tblGrid>
                <w:gridCol w:w="4680"/>
                <w:gridCol w:w="468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2">
                <w:pPr>
                  <w:tabs>
                    <w:tab w:val="left" w:leader="none" w:pos="9360"/>
                  </w:tabs>
                  <w:spacing w:line="276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Company</w:t>
                </w:r>
              </w:p>
              <w:p w:rsidR="00000000" w:rsidDel="00000000" w:rsidP="00000000" w:rsidRDefault="00000000" w:rsidRPr="00000000" w14:paraId="00000083">
                <w:pPr>
                  <w:tabs>
                    <w:tab w:val="left" w:leader="none" w:pos="9360"/>
                  </w:tabs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br w:type="textWrapping"/>
                  <w:t xml:space="preserve">By: _______________________________</w:t>
                  <w:br w:type="textWrapping"/>
                </w:r>
              </w:p>
              <w:p w:rsidR="00000000" w:rsidDel="00000000" w:rsidP="00000000" w:rsidRDefault="00000000" w:rsidRPr="00000000" w14:paraId="00000084">
                <w:pPr>
                  <w:tabs>
                    <w:tab w:val="left" w:leader="none" w:pos="9360"/>
                  </w:tabs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Name: _____________________________</w:t>
                  <w:br w:type="textWrapping"/>
                </w:r>
              </w:p>
              <w:p w:rsidR="00000000" w:rsidDel="00000000" w:rsidP="00000000" w:rsidRDefault="00000000" w:rsidRPr="00000000" w14:paraId="00000085">
                <w:pPr>
                  <w:tabs>
                    <w:tab w:val="left" w:leader="none" w:pos="9360"/>
                  </w:tabs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Title: _____________________________</w:t>
                </w:r>
              </w:p>
            </w:tc>
            <w:tc>
              <w:tcPr>
                <w:tcBorders>
                  <w:top w:color="000000" w:space="0" w:sz="0" w:val="nil"/>
                  <w:left w:color="000000" w:space="0" w:sz="0" w:val="nil"/>
                  <w:bottom w:color="000000" w:space="0" w:sz="0" w:val="nil"/>
                  <w:right w:color="000000" w:space="0" w:sz="0" w:val="nil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6">
                <w:pPr>
                  <w:tabs>
                    <w:tab w:val="left" w:leader="none" w:pos="9360"/>
                  </w:tabs>
                  <w:spacing w:line="276" w:lineRule="auto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Advisor</w:t>
                </w:r>
              </w:p>
              <w:p w:rsidR="00000000" w:rsidDel="00000000" w:rsidP="00000000" w:rsidRDefault="00000000" w:rsidRPr="00000000" w14:paraId="00000087">
                <w:pPr>
                  <w:tabs>
                    <w:tab w:val="left" w:leader="none" w:pos="9360"/>
                  </w:tabs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br w:type="textWrapping"/>
                  <w:t xml:space="preserve">By: _______________________________</w:t>
                  <w:br w:type="textWrapping"/>
                </w:r>
              </w:p>
              <w:p w:rsidR="00000000" w:rsidDel="00000000" w:rsidP="00000000" w:rsidRDefault="00000000" w:rsidRPr="00000000" w14:paraId="00000088">
                <w:pPr>
                  <w:tabs>
                    <w:tab w:val="left" w:leader="none" w:pos="9360"/>
                  </w:tabs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Name: Richard Jhang</w:t>
                  <w:br w:type="textWrapping"/>
                </w:r>
              </w:p>
              <w:p w:rsidR="00000000" w:rsidDel="00000000" w:rsidP="00000000" w:rsidRDefault="00000000" w:rsidRPr="00000000" w14:paraId="00000089">
                <w:pPr>
                  <w:tabs>
                    <w:tab w:val="left" w:leader="none" w:pos="9360"/>
                  </w:tabs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Title: Advisor</w:t>
                </w:r>
              </w:p>
              <w:p w:rsidR="00000000" w:rsidDel="00000000" w:rsidP="00000000" w:rsidRDefault="00000000" w:rsidRPr="00000000" w14:paraId="0000008A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/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8B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tabs>
          <w:tab w:val="left" w:leader="none" w:pos="9360"/>
        </w:tabs>
        <w:spacing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360"/>
        </w:tabs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Lines w:val="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9360"/>
        </w:tabs>
        <w:spacing w:after="240" w:line="276" w:lineRule="auto"/>
        <w:ind w:left="0" w:firstLine="0"/>
        <w:rPr>
          <w:rFonts w:ascii="Playfair Display" w:cs="Playfair Display" w:eastAsia="Playfair Display" w:hAnsi="Playfair Display"/>
          <w:b w:val="1"/>
          <w:bCs w:val="1"/>
          <w:smallCaps w:val="1"/>
          <w:sz w:val="34"/>
          <w:szCs w:val="34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even"/>
      <w:pgSz w:h="15840" w:w="12240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Playfair Displ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imes"/>
  <w:font w:name="Roboto Mon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color w:val="000000"/>
        <w:rtl w:val="0"/>
      </w:rPr>
      <w:tab/>
      <w:t xml:space="preserve">-</w:t>
    </w: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0000"/>
        <w:rtl w:val="0"/>
      </w:rPr>
      <w:t xml:space="preserve">-</w:t>
      <w:tab/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rPr>
        <w:color w:val="000000"/>
      </w:rPr>
    </w:pPr>
    <w:r w:rsidDel="00000000" w:rsidR="00000000" w:rsidRPr="00000000">
      <w:rPr>
        <w:color w:val="000000"/>
        <w:rtl w:val="0"/>
      </w:rPr>
      <w:t xml:space="preserve">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pageBreakBefore w:val="0"/>
      <w:spacing w:after="240" w:lineRule="auto"/>
      <w:jc w:val="center"/>
    </w:pPr>
    <w:rPr>
      <w:rFonts w:ascii="Times" w:cs="Times" w:eastAsia="Times" w:hAnsi="Times"/>
      <w:b w:val="1"/>
      <w:bCs w:val="1"/>
    </w:rPr>
  </w:style>
  <w:style w:type="paragraph" w:styleId="Heading2">
    <w:name w:val="heading 2"/>
    <w:basedOn w:val="Normal"/>
    <w:next w:val="Normal"/>
    <w:pPr>
      <w:keepNext w:val="1"/>
      <w:pageBreakBefore w:val="0"/>
      <w:spacing w:after="240" w:lineRule="auto"/>
    </w:pPr>
    <w:rPr>
      <w:rFonts w:ascii="Times" w:cs="Times" w:eastAsia="Times" w:hAnsi="Times"/>
      <w:b w:val="1"/>
      <w:bCs w:val="1"/>
    </w:rPr>
  </w:style>
  <w:style w:type="paragraph" w:styleId="Heading3">
    <w:name w:val="heading 3"/>
    <w:basedOn w:val="Normal"/>
    <w:next w:val="Normal"/>
    <w:pPr>
      <w:keepNext w:val="1"/>
      <w:pageBreakBefore w:val="0"/>
      <w:spacing w:after="240" w:lineRule="auto"/>
    </w:pPr>
    <w:rPr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fairDisplay-regular.ttf"/><Relationship Id="rId2" Type="http://schemas.openxmlformats.org/officeDocument/2006/relationships/font" Target="fonts/PlayfairDisplay-bold.ttf"/><Relationship Id="rId3" Type="http://schemas.openxmlformats.org/officeDocument/2006/relationships/font" Target="fonts/PlayfairDisplay-italic.ttf"/><Relationship Id="rId4" Type="http://schemas.openxmlformats.org/officeDocument/2006/relationships/font" Target="fonts/PlayfairDisplay-boldItalic.ttf"/><Relationship Id="rId5" Type="http://schemas.openxmlformats.org/officeDocument/2006/relationships/font" Target="fonts/RobotoMono-regular.ttf"/><Relationship Id="rId6" Type="http://schemas.openxmlformats.org/officeDocument/2006/relationships/font" Target="fonts/RobotoMono-bold.ttf"/><Relationship Id="rId7" Type="http://schemas.openxmlformats.org/officeDocument/2006/relationships/font" Target="fonts/RobotoMono-italic.ttf"/><Relationship Id="rId8" Type="http://schemas.openxmlformats.org/officeDocument/2006/relationships/font" Target="fonts/RobotoMon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9B6teKzvaFkf3QRBwxeJS7pF9A==">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